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D5B6" w14:textId="643D9597" w:rsidR="00E97E85" w:rsidRPr="00700BDB" w:rsidRDefault="00E97E85" w:rsidP="00E97E85">
      <w:pPr>
        <w:spacing w:after="0" w:line="360" w:lineRule="auto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Klasa: 400-02/2</w:t>
      </w:r>
      <w:r w:rsidR="00700BDB"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5</w:t>
      </w:r>
      <w:r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-01/0</w:t>
      </w:r>
      <w:r w:rsidR="00700BDB"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3</w:t>
      </w:r>
    </w:p>
    <w:p w14:paraId="57C38AC5" w14:textId="11878D15" w:rsidR="00E97E85" w:rsidRPr="00700BDB" w:rsidRDefault="00E97E85" w:rsidP="00E97E85">
      <w:pPr>
        <w:spacing w:after="0" w:line="360" w:lineRule="auto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Ur.Br.: 2170-1-30-2</w:t>
      </w:r>
      <w:r w:rsidR="00700BDB"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5</w:t>
      </w:r>
      <w:r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-01</w:t>
      </w:r>
    </w:p>
    <w:p w14:paraId="03AF97BD" w14:textId="5555A87B" w:rsidR="00E97E85" w:rsidRPr="00195706" w:rsidRDefault="00E97E85" w:rsidP="00E97E85">
      <w:pPr>
        <w:spacing w:after="0" w:line="360" w:lineRule="auto"/>
        <w:rPr>
          <w:rFonts w:ascii="Arial" w:eastAsia="SimSun" w:hAnsi="Arial" w:cs="Arial"/>
          <w:b/>
          <w:color w:val="000000" w:themeColor="text1"/>
          <w:kern w:val="0"/>
          <w:lang w:eastAsia="zh-CN"/>
          <w14:ligatures w14:val="none"/>
        </w:rPr>
      </w:pPr>
      <w:r w:rsidRPr="00700BDB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Rijeka, </w:t>
      </w:r>
      <w:r w:rsidRPr="00195706">
        <w:rPr>
          <w:rFonts w:ascii="Arial" w:eastAsia="SimSun" w:hAnsi="Arial" w:cs="Arial"/>
          <w:color w:val="000000" w:themeColor="text1"/>
          <w:kern w:val="0"/>
          <w:sz w:val="28"/>
          <w:szCs w:val="28"/>
          <w:lang w:eastAsia="zh-CN"/>
          <w14:ligatures w14:val="none"/>
        </w:rPr>
        <w:t>2</w:t>
      </w:r>
      <w:r w:rsidR="000C0F10">
        <w:rPr>
          <w:rFonts w:ascii="Arial" w:eastAsia="SimSun" w:hAnsi="Arial" w:cs="Arial"/>
          <w:color w:val="000000" w:themeColor="text1"/>
          <w:kern w:val="0"/>
          <w:sz w:val="28"/>
          <w:szCs w:val="28"/>
          <w:lang w:eastAsia="zh-CN"/>
          <w14:ligatures w14:val="none"/>
        </w:rPr>
        <w:t>4</w:t>
      </w:r>
      <w:r w:rsidRPr="00195706">
        <w:rPr>
          <w:rFonts w:ascii="Arial" w:eastAsia="SimSun" w:hAnsi="Arial" w:cs="Arial"/>
          <w:color w:val="000000" w:themeColor="text1"/>
          <w:kern w:val="0"/>
          <w:sz w:val="28"/>
          <w:szCs w:val="28"/>
          <w:lang w:eastAsia="zh-CN"/>
          <w14:ligatures w14:val="none"/>
        </w:rPr>
        <w:t>.07.202</w:t>
      </w:r>
      <w:r w:rsidR="00700BDB" w:rsidRPr="00195706">
        <w:rPr>
          <w:rFonts w:ascii="Arial" w:eastAsia="SimSun" w:hAnsi="Arial" w:cs="Arial"/>
          <w:color w:val="000000" w:themeColor="text1"/>
          <w:kern w:val="0"/>
          <w:sz w:val="28"/>
          <w:szCs w:val="28"/>
          <w:lang w:eastAsia="zh-CN"/>
          <w14:ligatures w14:val="none"/>
        </w:rPr>
        <w:t>5</w:t>
      </w:r>
      <w:r w:rsidRPr="00195706">
        <w:rPr>
          <w:rFonts w:ascii="Arial" w:eastAsia="SimSun" w:hAnsi="Arial" w:cs="Arial"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025CDDEB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</w:pPr>
      <w:r w:rsidRPr="00E97E85"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  <w:t xml:space="preserve"> </w:t>
      </w:r>
    </w:p>
    <w:p w14:paraId="3FBA32F3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65415F0E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17E89792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510B7CB4" w14:textId="5E41EA9E" w:rsidR="00E97E85" w:rsidRPr="00E97E85" w:rsidRDefault="00E97E85" w:rsidP="00E97E85">
      <w:pPr>
        <w:spacing w:after="0" w:line="360" w:lineRule="auto"/>
        <w:ind w:left="360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bookmarkStart w:id="0" w:name="_Hlk172193324"/>
      <w:r w:rsidRPr="00F56BA0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PRIJEDLOG POLUGODIŠNJEG IZVJEŠTAJA O  IZVRŠENJU FINANCIJSKOG PLANA GRADSKOG KAZALIŠTA LUTAKA RIJEKA ZA 202</w:t>
      </w:r>
      <w:r w:rsidR="00BE2DDF" w:rsidRPr="00F56BA0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5</w:t>
      </w:r>
      <w:r w:rsidRPr="00F56BA0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. GODINU</w:t>
      </w:r>
    </w:p>
    <w:bookmarkEnd w:id="0"/>
    <w:p w14:paraId="40BBD5DD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01085C46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color w:val="FF0000"/>
          <w:kern w:val="0"/>
          <w:sz w:val="28"/>
          <w:szCs w:val="28"/>
          <w:lang w:eastAsia="zh-CN"/>
          <w14:ligatures w14:val="none"/>
        </w:rPr>
      </w:pPr>
    </w:p>
    <w:p w14:paraId="38C8ACDE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059C8669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color w:val="FF0000"/>
          <w:kern w:val="0"/>
          <w:sz w:val="28"/>
          <w:szCs w:val="28"/>
          <w:lang w:eastAsia="zh-CN"/>
          <w14:ligatures w14:val="none"/>
        </w:rPr>
      </w:pPr>
    </w:p>
    <w:p w14:paraId="60DD2D34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b/>
          <w:color w:val="FF0000"/>
          <w:kern w:val="0"/>
          <w:sz w:val="28"/>
          <w:szCs w:val="28"/>
          <w:lang w:eastAsia="zh-CN"/>
          <w14:ligatures w14:val="none"/>
        </w:rPr>
      </w:pPr>
    </w:p>
    <w:p w14:paraId="201C1389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70263AF8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05B131E3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79D37341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3FF981BE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61F33D0C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lang w:eastAsia="zh-CN"/>
          <w14:ligatures w14:val="none"/>
        </w:rPr>
      </w:pPr>
    </w:p>
    <w:p w14:paraId="4B79EC32" w14:textId="77777777" w:rsidR="00E97E85" w:rsidRPr="00E97E85" w:rsidRDefault="00E97E85" w:rsidP="00E97E85">
      <w:pPr>
        <w:spacing w:after="0" w:line="360" w:lineRule="auto"/>
        <w:jc w:val="center"/>
        <w:rPr>
          <w:rFonts w:ascii="Arial" w:eastAsia="SimSun" w:hAnsi="Arial" w:cs="Arial"/>
          <w:color w:val="FF0000"/>
          <w:kern w:val="0"/>
          <w:sz w:val="28"/>
          <w:szCs w:val="28"/>
          <w:lang w:eastAsia="zh-CN"/>
          <w14:ligatures w14:val="none"/>
        </w:rPr>
      </w:pPr>
    </w:p>
    <w:p w14:paraId="1F671727" w14:textId="77777777" w:rsidR="00E97E85" w:rsidRPr="00E97E85" w:rsidRDefault="00E97E85" w:rsidP="00E97E85">
      <w:pPr>
        <w:spacing w:after="0" w:line="360" w:lineRule="auto"/>
        <w:jc w:val="right"/>
        <w:rPr>
          <w:rFonts w:ascii="Arial" w:eastAsia="SimSun" w:hAnsi="Arial" w:cs="Arial"/>
          <w:color w:val="FF0000"/>
          <w:kern w:val="0"/>
          <w:sz w:val="28"/>
          <w:szCs w:val="28"/>
          <w:lang w:eastAsia="zh-CN"/>
          <w14:ligatures w14:val="none"/>
        </w:rPr>
      </w:pPr>
    </w:p>
    <w:p w14:paraId="50EFF69A" w14:textId="77777777" w:rsidR="00E97E85" w:rsidRPr="00E97E85" w:rsidRDefault="00E97E85" w:rsidP="00E97E85">
      <w:pPr>
        <w:spacing w:after="0" w:line="360" w:lineRule="auto"/>
        <w:jc w:val="right"/>
        <w:rPr>
          <w:rFonts w:ascii="Arial" w:eastAsia="SimSun" w:hAnsi="Arial" w:cs="Arial"/>
          <w:color w:val="000000"/>
          <w:kern w:val="0"/>
          <w:sz w:val="28"/>
          <w:szCs w:val="28"/>
          <w:lang w:eastAsia="zh-CN"/>
          <w14:ligatures w14:val="none"/>
        </w:rPr>
      </w:pPr>
      <w:r w:rsidRPr="00E97E85">
        <w:rPr>
          <w:rFonts w:ascii="Arial" w:eastAsia="SimSun" w:hAnsi="Arial" w:cs="Arial"/>
          <w:color w:val="FF0000"/>
          <w:kern w:val="0"/>
          <w:sz w:val="28"/>
          <w:szCs w:val="28"/>
          <w:lang w:eastAsia="zh-CN"/>
          <w14:ligatures w14:val="none"/>
        </w:rPr>
        <w:t xml:space="preserve">    </w:t>
      </w:r>
      <w:r w:rsidRPr="00E97E85">
        <w:rPr>
          <w:rFonts w:ascii="Arial" w:eastAsia="SimSun" w:hAnsi="Arial" w:cs="Arial"/>
          <w:color w:val="000000"/>
          <w:kern w:val="0"/>
          <w:sz w:val="28"/>
          <w:szCs w:val="28"/>
          <w:lang w:eastAsia="zh-CN"/>
          <w14:ligatures w14:val="none"/>
        </w:rPr>
        <w:t>Ravnateljica</w:t>
      </w:r>
    </w:p>
    <w:p w14:paraId="20D45E12" w14:textId="77777777" w:rsidR="00E97E85" w:rsidRPr="00E97E85" w:rsidRDefault="00E97E85" w:rsidP="00E97E85">
      <w:pPr>
        <w:spacing w:after="0" w:line="360" w:lineRule="auto"/>
        <w:jc w:val="right"/>
        <w:rPr>
          <w:rFonts w:ascii="Arial" w:eastAsia="SimSun" w:hAnsi="Arial" w:cs="Arial"/>
          <w:color w:val="000000"/>
          <w:kern w:val="0"/>
          <w:sz w:val="28"/>
          <w:szCs w:val="28"/>
          <w:lang w:eastAsia="zh-CN"/>
          <w14:ligatures w14:val="none"/>
        </w:rPr>
      </w:pPr>
      <w:r w:rsidRPr="00E97E85">
        <w:rPr>
          <w:rFonts w:ascii="Arial" w:eastAsia="SimSun" w:hAnsi="Arial" w:cs="Arial"/>
          <w:color w:val="000000"/>
          <w:kern w:val="0"/>
          <w:sz w:val="28"/>
          <w:szCs w:val="28"/>
          <w:lang w:eastAsia="zh-CN"/>
          <w14:ligatures w14:val="none"/>
        </w:rPr>
        <w:t>Magdalena Lupi Alvir</w:t>
      </w:r>
    </w:p>
    <w:p w14:paraId="0E299024" w14:textId="77777777" w:rsidR="00E97E85" w:rsidRPr="00E97E85" w:rsidRDefault="00E97E85" w:rsidP="00E97E85">
      <w:pPr>
        <w:spacing w:after="0" w:line="360" w:lineRule="auto"/>
        <w:jc w:val="right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</w:p>
    <w:p w14:paraId="287411F7" w14:textId="77777777" w:rsidR="00BE2DDF" w:rsidRDefault="00BE2DDF">
      <w:pPr>
        <w:rPr>
          <w:rFonts w:ascii="Arial" w:eastAsia="SimSun" w:hAnsi="Arial" w:cs="Arial"/>
          <w:b/>
          <w:kern w:val="0"/>
          <w:lang w:eastAsia="zh-CN"/>
          <w14:ligatures w14:val="none"/>
        </w:rPr>
      </w:pPr>
      <w:r>
        <w:rPr>
          <w:rFonts w:ascii="Arial" w:eastAsia="SimSun" w:hAnsi="Arial" w:cs="Arial"/>
          <w:b/>
          <w:kern w:val="0"/>
          <w:lang w:eastAsia="zh-CN"/>
          <w14:ligatures w14:val="none"/>
        </w:rPr>
        <w:br w:type="page"/>
      </w:r>
    </w:p>
    <w:p w14:paraId="6B8B6002" w14:textId="21D2A0EB" w:rsidR="00E97E85" w:rsidRPr="00E97E85" w:rsidRDefault="00E97E85" w:rsidP="00E97E85">
      <w:pPr>
        <w:spacing w:after="0" w:line="240" w:lineRule="auto"/>
        <w:jc w:val="center"/>
        <w:rPr>
          <w:rFonts w:ascii="Arial" w:eastAsia="SimSun" w:hAnsi="Arial" w:cs="Arial"/>
          <w:kern w:val="0"/>
          <w:lang w:eastAsia="zh-CN"/>
          <w14:ligatures w14:val="none"/>
        </w:rPr>
      </w:pPr>
      <w:r w:rsidRPr="00E97E85">
        <w:rPr>
          <w:rFonts w:ascii="Arial" w:eastAsia="SimSun" w:hAnsi="Arial" w:cs="Arial"/>
          <w:b/>
          <w:kern w:val="0"/>
          <w:lang w:eastAsia="zh-CN"/>
          <w14:ligatures w14:val="none"/>
        </w:rPr>
        <w:lastRenderedPageBreak/>
        <w:t>SAŽETAK DJELOKRUGA RADA GKL RIJEKA</w:t>
      </w:r>
      <w:r w:rsidRPr="00E97E85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</w:p>
    <w:p w14:paraId="1AF437D9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</w:p>
    <w:p w14:paraId="260F418C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>Kazalište lutaka ustanovljeno je 1960. godine. Danas Gradsko kazalište lutaka Rijeka, čiji je osnivač Grad Rijeka, djeluje na adresi Blaža Polića 6 u Rijeci, broji trenutno 32 zaposlena djelatnika umjetničkog, tehničkog i administrativnog profila (od kojih su tri osobe na dugotrajnijem bolovanju preko 42 dana sa zamjenom a jedna osoba na porodiljnom dopustu sa zamjenom).</w:t>
      </w:r>
    </w:p>
    <w:p w14:paraId="325256CD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 xml:space="preserve">U skladu sa Statutom Kazališta, njegova je osnovna djelatnost stvaranje, produciranje i distribucija lutkarskih predstava, no istovremeno i njegovanje drugih scenskih djela, razvoj i širenje scensko-glazbene kulture te međugradska, međužupanijska i međunarodna suradnja, koja uključuje gostovanja iz republike i inozemstva, kao i gostovanja u republici i inozemstvu. </w:t>
      </w:r>
    </w:p>
    <w:p w14:paraId="1BD8C021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 xml:space="preserve">Kazalište godišnje izvodi preko 300 programa koje pogleda preko 30 000 gledatelja, te je čak i u vrijeme skoro tri pandemijske godine uspijevalo održati svoje programe i prilagoditi ih novonastaloj situaciji. U zadnje dvije kalendarske godine Kazalište kroz godinu postavlja u prosjeku 3 premijerna naslova u vlastitoj produkciji, izvodi oko 15 repriznih naslova, te ostvaruje sav planirani program. Kazalište je organizirano na način da se potrebne radnje u stvaranju jedne predstave obavljaju vlastitim snagama, od ideje do premijere,  te uz angažman i vanjskih suradnika, npr. redatelja, skladatelja, koreografa, likovnih umjetnika. U taj proces uključeni su svi djelatnici, kao i u organizaciju, produkciju i post-produkciju predstava, međunarodni festival Reviju lutkarskih kazališta, programe u Dječjoj kući uključujući Festival Tobogan, kao i svih pratećih sadržaja i programa tijekom sezone tj. kalendarske godine. </w:t>
      </w:r>
    </w:p>
    <w:p w14:paraId="654F7AAB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 xml:space="preserve">Obaveze Gradskog kazališta lutaka Rijeka sadržavaju premijere, reprize, organizaciju Revije lutkarskih kazališta, gostovanja po Primorsko-goranskoj županiji i Republici Hrvatskoj, sudjelovanje na domaćim festivalima, plasiranje na inozemnim festivalima, osmišljavanje, pisanje i priprema za sva potrebna kazališna izdanja, suradnja sa školama i vrtićima, djelovanje u krovnim organizacijama UNIMA-e i ASSITEJ-a, koprodukcije… GKL je i član svjetske mreže kazališta za najmlađe - Small size te regionalne platforme Od malih nogu.              </w:t>
      </w:r>
    </w:p>
    <w:p w14:paraId="3521D34E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>GKL Rijeka bio je jedan od partnera u programskom pravcu Dječja kuća EPK Rijeka2020 te u nasljeđu EPK programa sudjeluje kroz raznolike programe u prostoru Dječje kuće, kao i u upravljačkom dijelu, te u programima Festivala Tobogan, odnosno Ljeta u Benčiću.</w:t>
      </w:r>
    </w:p>
    <w:p w14:paraId="6DB4215D" w14:textId="77777777" w:rsidR="00BE2DDF" w:rsidRPr="00BE2DDF" w:rsidRDefault="00BE2DDF" w:rsidP="00BE2DDF">
      <w:pPr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>Cilj programa GKL Rijeka je zadovoljenje kulturnih potreba stanovnika grada Rijeke, prije svega njegovih najmlađih stanovnika, uz povećanje standarda usluge u kazališnoj djelatnosti.</w:t>
      </w:r>
    </w:p>
    <w:p w14:paraId="3270D84F" w14:textId="77777777" w:rsidR="00BE2DDF" w:rsidRPr="00BE2DDF" w:rsidRDefault="00BE2DDF" w:rsidP="00BE2DDF">
      <w:pPr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> </w:t>
      </w:r>
    </w:p>
    <w:p w14:paraId="1C0E7679" w14:textId="77777777" w:rsidR="00BE2DDF" w:rsidRDefault="00BE2DDF" w:rsidP="00BE2DDF">
      <w:pPr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E2DDF">
        <w:rPr>
          <w:rFonts w:ascii="Arial" w:eastAsia="Calibri" w:hAnsi="Arial" w:cs="Arial"/>
          <w:kern w:val="0"/>
          <w14:ligatures w14:val="none"/>
        </w:rPr>
        <w:t> </w:t>
      </w:r>
    </w:p>
    <w:p w14:paraId="4747DC6B" w14:textId="77777777" w:rsidR="00BE2DDF" w:rsidRDefault="00BE2DDF">
      <w:pPr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br w:type="page"/>
      </w:r>
    </w:p>
    <w:p w14:paraId="05FDA3D2" w14:textId="71E3B29B" w:rsidR="00E97E85" w:rsidRPr="00B23C03" w:rsidRDefault="00E97E85" w:rsidP="00BE2DDF">
      <w:pPr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23C03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lastRenderedPageBreak/>
        <w:t>Polugodišnji izvještaj o izvršenju financijskog plana sadrži opći dio izvještaja, posebni dio izvještaja, obrazloženje i posebne izvještaje. Polugodišnji izvještaj  izrađuje se u skladu sa Zakonom o proračunu (Narodne novine broj 144/21) i Pravilnikom o polugodišnjem i godišnjem izvještaju proračuna i financijskog plana (Narodne Novine broj 85/23). Gradsko kazalište lutaka Rijeka u polugodišnjem izvještaju o izvršenju financijskog plana ima sljedeće posebne izvještaje: Izvještaj o zaduživanju na domaćem i stranom tržištu novca i kapitala. Navedeni posebni izvještaj prikazan je na Obrascu 1 i sastavni je dio ovog izvještaja</w:t>
      </w: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. Gradsko kazalište lutaka Rijeka u razdoblju I-VI nije se zaduživalo.</w:t>
      </w:r>
    </w:p>
    <w:p w14:paraId="6E825460" w14:textId="77777777" w:rsidR="00E97E85" w:rsidRPr="00B23C03" w:rsidRDefault="00E97E85" w:rsidP="00E97E85">
      <w:pPr>
        <w:jc w:val="both"/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</w:pPr>
    </w:p>
    <w:p w14:paraId="18EBE3B5" w14:textId="3F223EE2" w:rsidR="00E97E85" w:rsidRPr="00B23C03" w:rsidRDefault="00E97E85" w:rsidP="00E97E85">
      <w:pPr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  <w:r w:rsidRPr="00B23C03">
        <w:rPr>
          <w:rFonts w:ascii="Arial" w:eastAsia="SimSun" w:hAnsi="Arial" w:cs="Arial"/>
          <w:b/>
          <w:kern w:val="0"/>
          <w:lang w:eastAsia="zh-CN"/>
          <w14:ligatures w14:val="none"/>
        </w:rPr>
        <w:t>Obrazloženje polugodišnjeg izvještaja o izvršenju financijskog plana Gradskog kazališta lutaka Rijeka za 202</w:t>
      </w:r>
      <w:r w:rsidR="00B23C03" w:rsidRPr="00B23C03">
        <w:rPr>
          <w:rFonts w:ascii="Arial" w:eastAsia="SimSun" w:hAnsi="Arial" w:cs="Arial"/>
          <w:b/>
          <w:kern w:val="0"/>
          <w:lang w:eastAsia="zh-CN"/>
          <w14:ligatures w14:val="none"/>
        </w:rPr>
        <w:t>5</w:t>
      </w:r>
      <w:r w:rsidRPr="00B23C03">
        <w:rPr>
          <w:rFonts w:ascii="Arial" w:eastAsia="SimSun" w:hAnsi="Arial" w:cs="Arial"/>
          <w:b/>
          <w:kern w:val="0"/>
          <w:lang w:eastAsia="zh-CN"/>
          <w14:ligatures w14:val="none"/>
        </w:rPr>
        <w:t>. godinu</w:t>
      </w:r>
    </w:p>
    <w:p w14:paraId="2C8B61E9" w14:textId="7E1B82B9" w:rsidR="00E97E85" w:rsidRPr="00B23C03" w:rsidRDefault="00E97E85" w:rsidP="00E97E85">
      <w:pPr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Obrazloženje polugodišnjeg izvještaja o izvršenju financijskog plana sastoji se od obrazloženja općeg dijela izvještaja o izvršenju financijskog plana. Obrazloženje općeg dijela</w:t>
      </w:r>
      <w:r w:rsidR="00C273F7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polugodišnjeg </w:t>
      </w: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izvještaja sadrži obrazloženje ostvarivanja prihoda i rashoda te obrazloženje prenesenog viška. </w:t>
      </w:r>
    </w:p>
    <w:p w14:paraId="7A37E23C" w14:textId="6DDF44FB" w:rsidR="00E97E85" w:rsidRPr="00B23C03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ab/>
        <w:t xml:space="preserve">U ovom tekstu obrazloženja ostvarivanja prihoda i rashoda ostvarenje se obrazlaže u odnosu na </w:t>
      </w:r>
      <w:r w:rsidR="00B23C03"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Izvorni plan</w:t>
      </w: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202</w:t>
      </w:r>
      <w:r w:rsidR="00B23C03"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. godine te usporedba s ostvarenjem prihoda i rashoda za isto razdoblje u 202</w:t>
      </w:r>
      <w:r w:rsidR="00B23C03"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Pr="00B23C03">
        <w:rPr>
          <w:rFonts w:ascii="Arial" w:eastAsia="SimSun" w:hAnsi="Arial" w:cs="Arial"/>
          <w:bCs/>
          <w:kern w:val="0"/>
          <w:lang w:eastAsia="zh-CN"/>
          <w14:ligatures w14:val="none"/>
        </w:rPr>
        <w:t>. godini.</w:t>
      </w:r>
    </w:p>
    <w:p w14:paraId="4CEF19A6" w14:textId="77777777" w:rsidR="00E97E85" w:rsidRPr="004A5FC2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kern w:val="0"/>
          <w:highlight w:val="yellow"/>
          <w:lang w:eastAsia="zh-CN"/>
          <w14:ligatures w14:val="none"/>
        </w:rPr>
      </w:pPr>
    </w:p>
    <w:p w14:paraId="24565E57" w14:textId="77777777" w:rsidR="00E97E85" w:rsidRPr="00B23C03" w:rsidRDefault="00E97E85" w:rsidP="00E97E85">
      <w:pPr>
        <w:spacing w:after="0" w:line="240" w:lineRule="auto"/>
        <w:rPr>
          <w:rFonts w:ascii="Arial" w:eastAsia="SimSun" w:hAnsi="Arial" w:cs="Arial"/>
          <w:b/>
          <w:kern w:val="0"/>
          <w:lang w:eastAsia="zh-CN"/>
          <w14:ligatures w14:val="none"/>
        </w:rPr>
      </w:pPr>
      <w:r w:rsidRPr="00B23C03">
        <w:rPr>
          <w:rFonts w:ascii="Arial" w:eastAsia="SimSun" w:hAnsi="Arial" w:cs="Arial"/>
          <w:b/>
          <w:kern w:val="0"/>
          <w:lang w:eastAsia="zh-CN"/>
          <w14:ligatures w14:val="none"/>
        </w:rPr>
        <w:t>Opći dio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52"/>
        <w:gridCol w:w="951"/>
        <w:gridCol w:w="951"/>
        <w:gridCol w:w="951"/>
        <w:gridCol w:w="248"/>
        <w:gridCol w:w="1248"/>
        <w:gridCol w:w="1189"/>
        <w:gridCol w:w="912"/>
        <w:gridCol w:w="842"/>
        <w:gridCol w:w="977"/>
      </w:tblGrid>
      <w:tr w:rsidR="006D7059" w:rsidRPr="006D7059" w14:paraId="6FA93592" w14:textId="77777777" w:rsidTr="004E0CC6">
        <w:trPr>
          <w:trHeight w:val="285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F82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SAŽETAK  RAČUNA PRIHODA I RASHODA I  RAČUNA FINANCIRANJA</w:t>
            </w:r>
          </w:p>
        </w:tc>
      </w:tr>
      <w:tr w:rsidR="006D7059" w:rsidRPr="006D7059" w14:paraId="2177001F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920BE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SAŽETAK  RAČUNA PRIHODA I RASHODA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9F8DB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CCF9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57CA6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B224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DA5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D7059" w:rsidRPr="006D7059" w14:paraId="344CC9CF" w14:textId="77777777" w:rsidTr="004E0CC6">
        <w:trPr>
          <w:trHeight w:val="34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5C2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5663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1.-6.2024.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C93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IZVORNI PLAN 2025*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089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1.-6.2025.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7EF8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EDAC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INDEKS**</w:t>
            </w:r>
          </w:p>
        </w:tc>
      </w:tr>
      <w:tr w:rsidR="006D7059" w:rsidRPr="006D7059" w14:paraId="7CBB878A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DA74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5DC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08B9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7159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DC7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5=4/2*100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7475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6=4/3*100</w:t>
            </w:r>
          </w:p>
        </w:tc>
      </w:tr>
      <w:tr w:rsidR="006D7059" w:rsidRPr="006D7059" w14:paraId="798EAF34" w14:textId="77777777" w:rsidTr="004E0CC6">
        <w:trPr>
          <w:trHeight w:val="21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4BAD92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PRIHODI UKUPNO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4E9E5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447.189,06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1E5E4E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1.507.650,00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14AE3A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590.457,72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6CC36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132,04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90580C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39,16   </w:t>
            </w:r>
          </w:p>
        </w:tc>
      </w:tr>
      <w:tr w:rsidR="006D7059" w:rsidRPr="006D7059" w14:paraId="77E25468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5ED7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6 PRIHODI POSLOVANJA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F2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447.189,06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289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1.507.650,00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DD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590.457,72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EC13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132,04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5DB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39,16   </w:t>
            </w:r>
          </w:p>
        </w:tc>
      </w:tr>
      <w:tr w:rsidR="006D7059" w:rsidRPr="006D7059" w14:paraId="5A5F03C5" w14:textId="77777777" w:rsidTr="004E0CC6">
        <w:trPr>
          <w:trHeight w:val="24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D11BE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88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5FA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1D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F0C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AF7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0C938CD7" w14:textId="77777777" w:rsidTr="004E0CC6">
        <w:trPr>
          <w:trHeight w:val="24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2085B2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RASHODI UKUPNO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B5AB13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70AE3B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D8B4FE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A470E0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434.005,73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8B4FD1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1.517.650,00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81C3F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582.501,01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46C52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134,22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0713E8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38,38   </w:t>
            </w:r>
          </w:p>
        </w:tc>
      </w:tr>
      <w:tr w:rsidR="006D7059" w:rsidRPr="006D7059" w14:paraId="21ED3D08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DA9E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3 RASHODI  POSLOVANJA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FF3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428.331,94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21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1.240.250,00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D04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580.657,27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E211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135,56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882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46,82   </w:t>
            </w:r>
          </w:p>
        </w:tc>
      </w:tr>
      <w:tr w:rsidR="006D7059" w:rsidRPr="006D7059" w14:paraId="23287EE8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1A19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01C8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5.673,79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130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277.400,00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58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1.843,74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979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32,50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A5A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0,66   </w:t>
            </w:r>
          </w:p>
        </w:tc>
      </w:tr>
      <w:tr w:rsidR="006D7059" w:rsidRPr="006D7059" w14:paraId="5CE64E10" w14:textId="77777777" w:rsidTr="004E0CC6">
        <w:trPr>
          <w:trHeight w:val="18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994672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RAZLIKA - VIŠAK MANJAK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307E2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13.183,33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643F84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-10.000,00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E557E8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7.956,71  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6A5EE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42,27 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6F65E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59755315" w14:textId="77777777" w:rsidTr="004E0CC6">
        <w:trPr>
          <w:trHeight w:val="270"/>
        </w:trPr>
        <w:tc>
          <w:tcPr>
            <w:tcW w:w="40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D9475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SAŽETAK RAČUNA FINANCIRANJA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FB68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B9B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9C9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723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F61B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D7059" w:rsidRPr="006D7059" w14:paraId="2B20DA57" w14:textId="77777777" w:rsidTr="004E0CC6">
        <w:trPr>
          <w:trHeight w:val="39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2E6A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D8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1.-6.2024.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3181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IZVORNI PLAN 2025*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F171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1.-6.2025.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2BC8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662E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INDEKS**</w:t>
            </w:r>
          </w:p>
        </w:tc>
      </w:tr>
      <w:tr w:rsidR="006D7059" w:rsidRPr="006D7059" w14:paraId="4C9981FA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F72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C56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718E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24E8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CDB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5=4/2*100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F157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6=4/3*100</w:t>
            </w:r>
          </w:p>
        </w:tc>
      </w:tr>
      <w:tr w:rsidR="006D7059" w:rsidRPr="006D7059" w14:paraId="138DA4C5" w14:textId="77777777" w:rsidTr="004E0CC6">
        <w:trPr>
          <w:trHeight w:val="24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38D3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AC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D4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61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EA8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78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223CC409" w14:textId="77777777" w:rsidTr="004E0CC6">
        <w:trPr>
          <w:trHeight w:val="19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CFD1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BE3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77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C51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25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7BA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77BD3059" w14:textId="77777777" w:rsidTr="004E0CC6">
        <w:trPr>
          <w:trHeight w:val="24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0396277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8336DE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C88A3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72B29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3997AD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7CC5CE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07014B98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F4AF3C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PRENESENI VIŠAK/MANJAK IZ PRETHODNE GODINE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34FA9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43EF73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45B538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5DFCA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A715E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17552B6E" w14:textId="77777777" w:rsidTr="004E0CC6">
        <w:trPr>
          <w:trHeight w:val="27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7BDAA8F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PRIJENOS  VIŠKA/MANJKA U SLJEDEĆE RAZDOBLJE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50D7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2235B8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3A31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45967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AACBB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2A8DF1A7" w14:textId="77777777" w:rsidTr="004E0CC6">
        <w:trPr>
          <w:trHeight w:val="3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FE48B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F6A36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A588F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42F9C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315FE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C18" w14:textId="77777777" w:rsidR="006D7059" w:rsidRPr="006D7059" w:rsidRDefault="006D7059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5B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935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E3C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F9B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D7059" w:rsidRPr="006D7059" w14:paraId="154F01C7" w14:textId="77777777" w:rsidTr="004E0CC6">
        <w:trPr>
          <w:trHeight w:val="255"/>
        </w:trPr>
        <w:tc>
          <w:tcPr>
            <w:tcW w:w="92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C4AD1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VIŠKOVI/MANJKOVI</w:t>
            </w:r>
          </w:p>
        </w:tc>
      </w:tr>
      <w:tr w:rsidR="006D7059" w:rsidRPr="006D7059" w14:paraId="492620AE" w14:textId="77777777" w:rsidTr="004E0CC6">
        <w:trPr>
          <w:trHeight w:val="40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FE9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143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1.-6.2024.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7FFB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IZVORNI PLAN 2025*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CA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 xml:space="preserve">IZVRŠENJE </w:t>
            </w: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1.-6.2025.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D282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678B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INDEKS**</w:t>
            </w:r>
          </w:p>
        </w:tc>
      </w:tr>
      <w:tr w:rsidR="006D7059" w:rsidRPr="006D7059" w14:paraId="48E1FDED" w14:textId="77777777" w:rsidTr="004E0CC6">
        <w:trPr>
          <w:trHeight w:val="225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7D3D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8AF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9E27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0A13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2E74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5=4/2*100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F0C9" w14:textId="77777777" w:rsidR="006D7059" w:rsidRPr="006D7059" w:rsidRDefault="006D7059" w:rsidP="006D7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6=4/3*100</w:t>
            </w:r>
          </w:p>
        </w:tc>
      </w:tr>
      <w:tr w:rsidR="006D7059" w:rsidRPr="006D7059" w14:paraId="4A556E76" w14:textId="77777777" w:rsidTr="004E0CC6">
        <w:trPr>
          <w:trHeight w:val="30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73BB3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UKUPAN PRENESENI VIŠAK / MANJAK IZ PRETHODNE GODINE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A0A41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65.019,80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0863B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10.000,00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E61FF2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-23.294,43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647729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3C1745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</w:tr>
      <w:tr w:rsidR="006D7059" w:rsidRPr="006D7059" w14:paraId="093CF979" w14:textId="77777777" w:rsidTr="004E0CC6">
        <w:trPr>
          <w:trHeight w:val="39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B7346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VIŠAK KOJI SE RASPOREDIO ZA POKRIĆE RAZLIKE PRIHODA I RASHODA, PRIMITAKA I IZDATAKA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022D2D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24.211,22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8C1500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10.000,00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0E925E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4.995,83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11F32C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20,63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AA9C5B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49,96</w:t>
            </w:r>
          </w:p>
        </w:tc>
      </w:tr>
      <w:tr w:rsidR="006D7059" w:rsidRPr="006D7059" w14:paraId="1412A090" w14:textId="77777777" w:rsidTr="004E0CC6">
        <w:trPr>
          <w:trHeight w:val="39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B4319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MANJAK RAZLIKE PRIHODA I RASHODA, PRIMITAKA I IZDATAKA KOJI SE POKRIO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89B9AB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A4840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6AFA1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A090AB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ECD776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</w:tr>
      <w:tr w:rsidR="006D7059" w:rsidRPr="006D7059" w14:paraId="4D82B7F7" w14:textId="77777777" w:rsidTr="004E0CC6">
        <w:trPr>
          <w:trHeight w:val="240"/>
        </w:trPr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6DDC" w14:textId="77777777" w:rsidR="006D7059" w:rsidRPr="006D7059" w:rsidRDefault="006D7059" w:rsidP="006D7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UKUPNO KORIŠTENI REZULTAT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794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24.211,22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AD9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10.000,00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31F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4.995,83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53D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20,63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237" w14:textId="77777777" w:rsidR="006D7059" w:rsidRPr="006D7059" w:rsidRDefault="006D7059" w:rsidP="006D7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6D7059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49,96</w:t>
            </w:r>
          </w:p>
        </w:tc>
      </w:tr>
    </w:tbl>
    <w:p w14:paraId="374DB905" w14:textId="27823BD1" w:rsidR="00E97E85" w:rsidRPr="000E5C30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lastRenderedPageBreak/>
        <w:t>Ukupno ostvareni prihodi u razdoblju I-VI 202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godine iznose 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590.457,72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39,16 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plana, a ukupni rashodi izvršeni su u iznosu 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582.501,01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3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8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,</w:t>
      </w:r>
      <w:r w:rsidR="00C83344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38 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%.</w:t>
      </w:r>
    </w:p>
    <w:p w14:paraId="46DB268D" w14:textId="46C87969" w:rsidR="00E97E85" w:rsidRDefault="00C83344" w:rsidP="00EF18C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U 2024. godini </w:t>
      </w:r>
      <w:r w:rsidR="000E5C30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ostvaren je manjak u iznosu 23.294,43 eura što je uvjetovano metodološkim manjkom proračunskih sredstava u iznosu 69.411,86 eura najvećim dijelom zbog ukidanja kontinuiranih rashoda te knjiženja trinaeste plaće na trošak u 2024. godini. Nadalje</w:t>
      </w:r>
      <w:r w:rsidR="000E5C30">
        <w:rPr>
          <w:rFonts w:ascii="Arial" w:eastAsia="SimSun" w:hAnsi="Arial" w:cs="Arial"/>
          <w:bCs/>
          <w:kern w:val="0"/>
          <w:lang w:eastAsia="zh-CN"/>
          <w14:ligatures w14:val="none"/>
        </w:rPr>
        <w:t>,</w:t>
      </w:r>
      <w:r w:rsidR="000E5C30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Gradsko kazalište lutaka ostvarilo je višak poslovanja iz namje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>n</w:t>
      </w:r>
      <w:r w:rsidR="000E5C30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skih sredstava u iznosu 47.108,93 eura te manjak nefinancijske imovine u iznosu 991,50 eura koji je pokriven Odlukom od 30.01.2025. godine.</w:t>
      </w:r>
      <w:r w:rsidR="00101A29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>Izvornim planom u</w:t>
      </w:r>
      <w:r w:rsidR="000E5C30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202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godini planirano je izvršenje viška u iznosu 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10.000,00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koji je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raspoređen temeljem Odluk</w:t>
      </w:r>
      <w:r w:rsidR="000E5C30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e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Kazališnog vijeća od 3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0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.01.202</w:t>
      </w:r>
      <w:r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="00E97E85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godine. </w:t>
      </w:r>
      <w:r w:rsidR="00EF18CF" w:rsidRPr="000E5C3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U promatranom razdoblju utrošeno je 4.995,83 eura ili 49,96% 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od planiranih 10.000,00 eura. </w:t>
      </w:r>
      <w:r w:rsidR="00283668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Obzirom da u 2025. godini nije bilo 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>i</w:t>
      </w:r>
      <w:r w:rsidR="00283668">
        <w:rPr>
          <w:rFonts w:ascii="Arial" w:eastAsia="SimSun" w:hAnsi="Arial" w:cs="Arial"/>
          <w:bCs/>
          <w:kern w:val="0"/>
          <w:lang w:eastAsia="zh-CN"/>
          <w14:ligatures w14:val="none"/>
        </w:rPr>
        <w:t>zmjena i dopuna financijskog plana ostatak viška biti će realiziran u narednom razdoblju</w:t>
      </w:r>
      <w:r w:rsidR="00EF18CF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</w:p>
    <w:p w14:paraId="0D66431F" w14:textId="77777777" w:rsidR="00EF18CF" w:rsidRPr="00EF18CF" w:rsidRDefault="00EF18CF" w:rsidP="00EF18C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highlight w:val="yellow"/>
          <w:lang w:eastAsia="zh-CN"/>
          <w14:ligatures w14:val="none"/>
        </w:rPr>
      </w:pPr>
    </w:p>
    <w:p w14:paraId="6062C1DE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14:ligatures w14:val="none"/>
        </w:rPr>
      </w:pPr>
      <w:r w:rsidRPr="00B10255">
        <w:rPr>
          <w:rFonts w:ascii="Arial" w:eastAsia="Calibri" w:hAnsi="Arial" w:cs="Arial"/>
          <w:b/>
          <w:bCs/>
          <w:noProof/>
          <w:kern w:val="0"/>
          <w14:ligatures w14:val="none"/>
        </w:rPr>
        <w:t>Račun prihoda i rashoda</w:t>
      </w:r>
    </w:p>
    <w:p w14:paraId="47B448E6" w14:textId="77777777" w:rsidR="00E97E85" w:rsidRPr="00B10255" w:rsidRDefault="00E97E85" w:rsidP="00E97E8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noProof/>
          <w:kern w:val="0"/>
          <w14:ligatures w14:val="none"/>
        </w:rPr>
      </w:pPr>
    </w:p>
    <w:p w14:paraId="6A5D84EE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14:ligatures w14:val="none"/>
        </w:rPr>
      </w:pPr>
      <w:r w:rsidRPr="00B10255">
        <w:rPr>
          <w:rFonts w:ascii="Arial" w:eastAsia="Calibri" w:hAnsi="Arial" w:cs="Arial"/>
          <w:b/>
          <w:bCs/>
          <w:noProof/>
          <w:kern w:val="0"/>
          <w14:ligatures w14:val="none"/>
        </w:rPr>
        <w:t>Prihodi</w:t>
      </w:r>
    </w:p>
    <w:p w14:paraId="20C19573" w14:textId="1D0A7E4C" w:rsidR="00E97E85" w:rsidRPr="00B10255" w:rsidRDefault="0028649B" w:rsidP="00E97E85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14:ligatures w14:val="none"/>
        </w:rPr>
      </w:pPr>
      <w:r w:rsidRPr="00B10255">
        <w:rPr>
          <w:noProof/>
        </w:rPr>
        <w:drawing>
          <wp:inline distT="0" distB="0" distL="0" distR="0" wp14:anchorId="67657B8F" wp14:editId="07EB3DE6">
            <wp:extent cx="5760720" cy="3676650"/>
            <wp:effectExtent l="0" t="0" r="0" b="0"/>
            <wp:docPr id="3633586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2156" w14:textId="77777777" w:rsidR="00E97E85" w:rsidRPr="00B10255" w:rsidRDefault="00E97E85" w:rsidP="00E97E85">
      <w:pPr>
        <w:spacing w:after="0" w:line="240" w:lineRule="auto"/>
        <w:rPr>
          <w:rFonts w:ascii="Calibri" w:eastAsia="Calibri" w:hAnsi="Calibri" w:cs="Times New Roman"/>
          <w:noProof/>
          <w:kern w:val="0"/>
          <w14:ligatures w14:val="none"/>
        </w:rPr>
      </w:pPr>
    </w:p>
    <w:p w14:paraId="75D40529" w14:textId="77777777" w:rsidR="0028649B" w:rsidRPr="00B10255" w:rsidRDefault="0028649B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</w:p>
    <w:p w14:paraId="3035C31A" w14:textId="75BA7E9C" w:rsidR="00E97E85" w:rsidRPr="00B10255" w:rsidRDefault="0028649B" w:rsidP="00CF65C0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 naveden</w:t>
      </w:r>
      <w:r w:rsidR="00CF3949">
        <w:rPr>
          <w:rFonts w:ascii="Arial" w:eastAsia="SimSun" w:hAnsi="Arial" w:cs="Arial"/>
          <w:bCs/>
          <w:kern w:val="0"/>
          <w:lang w:eastAsia="zh-CN"/>
          <w14:ligatures w14:val="none"/>
        </w:rPr>
        <w:t>e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tablic</w:t>
      </w:r>
      <w:r w:rsidR="00CF3949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e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v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idljivo je kako su </w:t>
      </w:r>
      <w:r w:rsidR="006F61D9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Izvornim planom 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ukupni prihodi planirani u iznosu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1.507</w:t>
      </w:r>
      <w:r w:rsidR="00D72AF6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650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,00 eura, a ostvareni su u iznosu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590.457,72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3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9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,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16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Izvornog plana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Prema vrsti  prihoda najveći udio imaju prihodi od nadležnog proračuna Grada Rijeke te prihodi </w:t>
      </w:r>
      <w:r w:rsidR="0090508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od tekućih pomoći proračunskim korisnicima od strane Ministarstva kulture i medija i Primorsko goranske -</w:t>
      </w:r>
      <w:r w:rsidR="00D72AF6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ž</w:t>
      </w:r>
      <w:r w:rsidR="0090508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upanije.</w:t>
      </w:r>
      <w:r w:rsidR="00CF65C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rihodi I-VI 202</w:t>
      </w:r>
      <w:r w:rsidR="0090508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u odnosu na I-VI 202</w:t>
      </w:r>
      <w:r w:rsidR="0090508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veći su za </w:t>
      </w:r>
      <w:r w:rsidR="0090508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32,04 </w:t>
      </w:r>
      <w:r w:rsidR="00E97E85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% a najvećim dijelom povećanje se odnosi na prihode od nadležnog proračuna i prihode dobivene temeljem natječaja pri Ministarstvu kulture i medija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</w:p>
    <w:p w14:paraId="198A8AE6" w14:textId="28477E30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color w:val="FF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FF0000"/>
          <w:kern w:val="0"/>
          <w:lang w:eastAsia="zh-CN"/>
          <w14:ligatures w14:val="none"/>
        </w:rPr>
        <w:tab/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Prihodi od pomoći iz inozemstva i od subjekata unutar općeg proračuna ostvareni su u iznosu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65.956,16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66,89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="003E39B9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Izvornog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plana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202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godinu. Prihodi koji se odnose na tekuće pomoći odnose se na sredstva ostvarena od Ministarstva kulture i medija i Primorsko-goranske županije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U odnosu na 202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godinu izvršenje je veće za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74,76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zbog različite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lastRenderedPageBreak/>
        <w:t xml:space="preserve">dinamike ostvarivanja programa kao i više ostvarenih prihoda od strane Ministarstva medija i kulture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 Primorsko goranske županije</w:t>
      </w:r>
      <w:r w:rsidR="00D72AF6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realizaciju programa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</w:p>
    <w:p w14:paraId="72FF53D9" w14:textId="2B2F993E" w:rsidR="00E97E85" w:rsidRPr="00B10255" w:rsidRDefault="00E97E85" w:rsidP="00E97E85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10255">
        <w:rPr>
          <w:rFonts w:ascii="Arial" w:eastAsia="SimSun" w:hAnsi="Arial" w:cs="Arial"/>
          <w:bCs/>
          <w:color w:val="FF0000"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Cs/>
          <w:color w:val="FF0000"/>
          <w:kern w:val="0"/>
          <w:lang w:eastAsia="zh-CN"/>
          <w14:ligatures w14:val="none"/>
        </w:rPr>
        <w:tab/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Prihodi </w:t>
      </w:r>
      <w:r w:rsidR="00D72AF6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od upravnih i administrativnih pristojbi, pristojbi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po posebnim propisima, odnosno prihodi od ulaznica ostvareni su u iznosu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47.802,00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4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3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,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46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u odnosu na 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Izvorni plan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202</w:t>
      </w:r>
      <w:r w:rsidR="00801FE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godinu</w:t>
      </w:r>
      <w:r w:rsidRPr="00613FAA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  <w:r w:rsidR="00613FAA" w:rsidRPr="00613FAA">
        <w:rPr>
          <w:rFonts w:ascii="Arial" w:eastAsia="SimSun" w:hAnsi="Arial" w:cs="Arial"/>
          <w:bCs/>
          <w:lang w:eastAsia="zh-CN"/>
        </w:rPr>
        <w:t xml:space="preserve"> Dinamika ostvarivanja prihoda uvjetovana je dinamikom i realizacijom programa Gradskog kazališta lutaka Rijeka te je planirano u narednom razdoblju veće ostvarivanje prihoda u odnosu na prvo polugodište.</w:t>
      </w:r>
      <w:r w:rsidRPr="00613FAA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U odnosu na izvršenje I-VI 202</w:t>
      </w:r>
      <w:r w:rsidR="00801FEA" w:rsidRPr="00613FAA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Pr="00613FAA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</w:t>
      </w:r>
      <w:r w:rsidRPr="00613FAA">
        <w:rPr>
          <w:rFonts w:ascii="Arial" w:eastAsia="Calibri" w:hAnsi="Arial" w:cs="Arial"/>
          <w:kern w:val="0"/>
          <w14:ligatures w14:val="none"/>
        </w:rPr>
        <w:t>godine</w:t>
      </w:r>
      <w:r w:rsidRPr="00B10255">
        <w:rPr>
          <w:rFonts w:ascii="Arial" w:eastAsia="Calibri" w:hAnsi="Arial" w:cs="Arial"/>
          <w:kern w:val="0"/>
          <w14:ligatures w14:val="none"/>
        </w:rPr>
        <w:t xml:space="preserve"> prihodi od ulaznica manji su za </w:t>
      </w:r>
      <w:r w:rsidR="00801FEA" w:rsidRPr="00B10255">
        <w:rPr>
          <w:rFonts w:ascii="Arial" w:eastAsia="Calibri" w:hAnsi="Arial" w:cs="Arial"/>
          <w:kern w:val="0"/>
          <w14:ligatures w14:val="none"/>
        </w:rPr>
        <w:t xml:space="preserve">1,62 </w:t>
      </w:r>
      <w:r w:rsidRPr="00B10255">
        <w:rPr>
          <w:rFonts w:ascii="Arial" w:eastAsia="Calibri" w:hAnsi="Arial" w:cs="Arial"/>
          <w:kern w:val="0"/>
          <w14:ligatures w14:val="none"/>
        </w:rPr>
        <w:t>%</w:t>
      </w:r>
      <w:r w:rsidR="00801FEA" w:rsidRPr="00B10255">
        <w:rPr>
          <w:rFonts w:ascii="Arial" w:eastAsia="Calibri" w:hAnsi="Arial" w:cs="Arial"/>
          <w:kern w:val="0"/>
          <w14:ligatures w14:val="none"/>
        </w:rPr>
        <w:t xml:space="preserve"> </w:t>
      </w:r>
      <w:r w:rsidR="00D72AF6" w:rsidRPr="00B10255">
        <w:rPr>
          <w:rFonts w:ascii="Arial" w:eastAsia="Calibri" w:hAnsi="Arial" w:cs="Arial"/>
          <w:kern w:val="0"/>
          <w14:ligatures w14:val="none"/>
        </w:rPr>
        <w:t xml:space="preserve">te su </w:t>
      </w:r>
      <w:r w:rsidR="00801FEA" w:rsidRPr="00B10255">
        <w:rPr>
          <w:rFonts w:ascii="Arial" w:eastAsia="Calibri" w:hAnsi="Arial" w:cs="Arial"/>
          <w:kern w:val="0"/>
          <w14:ligatures w14:val="none"/>
        </w:rPr>
        <w:t>na razini prošlogodišnjih prihoda.</w:t>
      </w:r>
    </w:p>
    <w:p w14:paraId="484091CF" w14:textId="4595335F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ab/>
      </w:r>
      <w:bookmarkStart w:id="1" w:name="_Hlk204078052"/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Prihodi od prodaje proizvoda i robe te pruženih usluga i prihodi od donacija te povrati po protestnim jamstvima u razdoblju I-VI 202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godine ostvareni su u iznosu 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400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,00 eura ili 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6,15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Izvornog plana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202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godinu. Prihodi su manje ostvareni u odnosu na </w:t>
      </w:r>
      <w:r w:rsidR="00AF776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Izvorni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plan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 razloga što je  održavanje radionica  predviđeno u drugoj polovici godine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U odnosu na 202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godinu</w:t>
      </w:r>
      <w:r w:rsidR="008A62B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prihod je manji za 65,22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% zbog različite dinamike ostvarivanja radionica tijekom godine.</w:t>
      </w:r>
    </w:p>
    <w:bookmarkEnd w:id="1"/>
    <w:p w14:paraId="70269447" w14:textId="01687B08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           Prihodi iz nadležnog proračuna ostvareni su u iznosu od 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476.299,56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36,85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="009A5105">
        <w:rPr>
          <w:rFonts w:ascii="Arial" w:eastAsia="SimSun" w:hAnsi="Arial" w:cs="Arial"/>
          <w:bCs/>
          <w:kern w:val="0"/>
          <w:lang w:eastAsia="zh-CN"/>
          <w14:ligatures w14:val="none"/>
        </w:rPr>
        <w:t>Izvornog plana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plana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202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godinu. Prihodi su ostvareni u manjem obujmu obzirom da će se projekt klimatizacije i grijanja realizirati u narednom razdoblju. U odnosu na isto razdoblje 202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izvršenje prihoda za financiranje rashoda poslovanja je veće za 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32,41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% najvećim dijelom zbog povećanja osnovice</w:t>
      </w:r>
      <w:r w:rsidR="00C9298F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plaće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temeljem Kolektivnog ugovora</w:t>
      </w:r>
      <w:r w:rsidR="002E4648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te dijelom zbog realizacije dijela programa Ljet</w:t>
      </w:r>
      <w:r w:rsidR="00991D0E">
        <w:rPr>
          <w:rFonts w:ascii="Arial" w:eastAsia="SimSun" w:hAnsi="Arial" w:cs="Arial"/>
          <w:bCs/>
          <w:kern w:val="0"/>
          <w:lang w:eastAsia="zh-CN"/>
          <w14:ligatures w14:val="none"/>
        </w:rPr>
        <w:t>o</w:t>
      </w:r>
      <w:r w:rsidR="002E4648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u Rijeci u lipnju dok je u 2024. Ljeto u Rijeci realizirano u srpnju.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</w:p>
    <w:p w14:paraId="5254F6BE" w14:textId="77777777" w:rsidR="00E97E85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04986A08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389DB93D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2040AEA9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0390F822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72147DA6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0A9EE7B4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DAD02F7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28BD6972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0D799825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6B2D1F14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65EAF4FE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168A3670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D3FF2A9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21CB3912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1293D3A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62A5DD0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2D2A1F4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791D6A94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113BBA4C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6DF87113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8F454AE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27237B69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62CADB53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6E559822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57BA4B79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715D72BB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1CB0A889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33FF0783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1938024E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36CB9F1F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04FE8BD2" w14:textId="77777777" w:rsidR="00FC5B54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299F19AC" w14:textId="5367631E" w:rsidR="00FC5B54" w:rsidRPr="00B10255" w:rsidRDefault="00FC5B54" w:rsidP="00FC5B54">
      <w:pPr>
        <w:spacing w:after="0" w:line="24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kern w:val="0"/>
          <w:lang w:eastAsia="zh-CN"/>
          <w14:ligatures w14:val="none"/>
        </w:rPr>
        <w:lastRenderedPageBreak/>
        <w:t>Rashodi</w:t>
      </w:r>
    </w:p>
    <w:p w14:paraId="01A58EBF" w14:textId="77777777" w:rsidR="00F94FEC" w:rsidRPr="00B10255" w:rsidRDefault="00F94FEC" w:rsidP="00F94FEC">
      <w:pPr>
        <w:spacing w:after="0" w:line="240" w:lineRule="auto"/>
        <w:jc w:val="both"/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</w:pPr>
      <w:r w:rsidRPr="00B10255">
        <w:rPr>
          <w:noProof/>
        </w:rPr>
        <w:drawing>
          <wp:inline distT="0" distB="0" distL="0" distR="0" wp14:anchorId="655D98E9" wp14:editId="3CF8A154">
            <wp:extent cx="5784574" cy="8498325"/>
            <wp:effectExtent l="0" t="0" r="6985" b="0"/>
            <wp:docPr id="1807743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903" cy="85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CFF6" w14:textId="77777777" w:rsidR="00F94FEC" w:rsidRPr="00B10255" w:rsidRDefault="00E97E85" w:rsidP="00AC5A14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lastRenderedPageBreak/>
        <w:t xml:space="preserve">Ukupni rashodi planirani su iznosu 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1.517.650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,00 eura, a izvršeni u iznosu 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582.501,01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ili 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38,38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Izvornog plana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202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godinu. </w:t>
      </w:r>
      <w:r w:rsidR="00F94FEC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Najvećim dijelom na manje izvršenje Izvornog plana utječu rashodi za nabavu nefinancijske imovine koji se odnose na klimatizaciju gledališta, a koji će biti izvršeni u narednom razdoblju. </w:t>
      </w:r>
    </w:p>
    <w:p w14:paraId="2401AED7" w14:textId="25E4EAE2" w:rsidR="00E97E85" w:rsidRPr="00B10255" w:rsidRDefault="00E97E85" w:rsidP="00F94FEC">
      <w:pPr>
        <w:spacing w:after="0" w:line="240" w:lineRule="auto"/>
        <w:jc w:val="both"/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</w:pPr>
    </w:p>
    <w:p w14:paraId="0637918F" w14:textId="413249C5" w:rsidR="003025BD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ab/>
        <w:t xml:space="preserve"> </w:t>
      </w:r>
      <w:r w:rsidRPr="00B10255">
        <w:rPr>
          <w:rFonts w:ascii="Arial" w:eastAsia="SimSun" w:hAnsi="Arial" w:cs="Arial"/>
          <w:b/>
          <w:kern w:val="0"/>
          <w:lang w:eastAsia="zh-CN"/>
          <w14:ligatures w14:val="none"/>
        </w:rPr>
        <w:t>RASHODI ZA ZAPOSLENE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planirani su u iznosu </w:t>
      </w:r>
      <w:r w:rsidR="00F94FEC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925.250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,00 eura, a izvršeni su u iznosu </w:t>
      </w:r>
      <w:r w:rsidR="00F94FEC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437.319,49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eura što predstavlja </w:t>
      </w:r>
      <w:r w:rsidR="00F94FEC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47,27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</w:t>
      </w:r>
      <w:r w:rsidR="00FC5B54">
        <w:rPr>
          <w:rFonts w:ascii="Arial" w:eastAsia="SimSun" w:hAnsi="Arial" w:cs="Arial"/>
          <w:bCs/>
          <w:kern w:val="0"/>
          <w:lang w:eastAsia="zh-CN"/>
          <w14:ligatures w14:val="none"/>
        </w:rPr>
        <w:t>Izvornog plana.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</w:p>
    <w:p w14:paraId="7B79F326" w14:textId="32F32197" w:rsidR="00E97E85" w:rsidRPr="00B10255" w:rsidRDefault="00E97E85" w:rsidP="00B94B7C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10255">
        <w:rPr>
          <w:rFonts w:ascii="Arial" w:eastAsia="SimSun" w:hAnsi="Arial" w:cs="Arial"/>
          <w:b/>
          <w:kern w:val="0"/>
          <w:lang w:eastAsia="zh-CN"/>
          <w14:ligatures w14:val="none"/>
        </w:rPr>
        <w:t>Rashodi za zaposlene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obuhvaćaju plaće, ostale rashode za zaposlene i doprinose na plaće.  Plaće za r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edovan rad u razdoblju I-VI 202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. povećane su za 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3</w:t>
      </w:r>
      <w:r w:rsidR="005C35AB" w:rsidRPr="00B10255">
        <w:rPr>
          <w:rFonts w:ascii="Arial" w:eastAsia="Times New Roman" w:hAnsi="Arial" w:cs="Arial"/>
          <w:kern w:val="0"/>
          <w:lang w:eastAsia="hr-HR"/>
          <w14:ligatures w14:val="none"/>
        </w:rPr>
        <w:t>8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FC5B54">
        <w:rPr>
          <w:rFonts w:ascii="Arial" w:eastAsia="Times New Roman" w:hAnsi="Arial" w:cs="Arial"/>
          <w:kern w:val="0"/>
          <w:lang w:eastAsia="hr-HR"/>
          <w14:ligatures w14:val="none"/>
        </w:rPr>
        <w:t>55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% u odnosu na isto razdoblje 202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. godine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zbog povećanja osnovice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plaće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temeljem Kolektivnog ugovora u 202</w:t>
      </w:r>
      <w:r w:rsidR="000D0920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godini.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Plaće za rad u posebnim uvjetima </w:t>
      </w:r>
      <w:r w:rsidR="00FC5B54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iznose 7.034,95 eura </w:t>
      </w:r>
      <w:r w:rsidR="00FC5B54">
        <w:rPr>
          <w:rFonts w:ascii="Arial" w:eastAsia="Times New Roman" w:hAnsi="Arial" w:cs="Arial"/>
          <w:kern w:val="0"/>
          <w:lang w:eastAsia="hr-HR"/>
          <w14:ligatures w14:val="none"/>
        </w:rPr>
        <w:t xml:space="preserve">te su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povećane u odnosu na ostvarenje za isto razdoblje 202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. godine za </w:t>
      </w:r>
      <w:r w:rsidR="00FC5B54">
        <w:rPr>
          <w:rFonts w:ascii="Arial" w:eastAsia="Times New Roman" w:hAnsi="Arial" w:cs="Arial"/>
          <w:kern w:val="0"/>
          <w:lang w:eastAsia="hr-HR"/>
          <w14:ligatures w14:val="none"/>
        </w:rPr>
        <w:t>42,69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%</w:t>
      </w:r>
      <w:r w:rsidR="005C35AB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F64965">
        <w:rPr>
          <w:rFonts w:ascii="Arial" w:eastAsia="Times New Roman" w:hAnsi="Arial" w:cs="Arial"/>
          <w:kern w:val="0"/>
          <w:lang w:eastAsia="hr-HR"/>
          <w14:ligatures w14:val="none"/>
        </w:rPr>
        <w:t>i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prate rast plaće za redovan rad.  Ostali rashodi za zaposlene povećani su za 5,9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8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%, a iznose 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25.792,40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eura</w:t>
      </w:r>
      <w:r w:rsidR="005C35AB" w:rsidRPr="00B10255">
        <w:rPr>
          <w:rFonts w:ascii="Arial" w:eastAsia="Times New Roman" w:hAnsi="Arial" w:cs="Arial"/>
          <w:kern w:val="0"/>
          <w:lang w:eastAsia="hr-HR"/>
          <w14:ligatures w14:val="none"/>
        </w:rPr>
        <w:t>. P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ovećanje 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je uvjetovano različitom dinamikom ostvarivanja prava iz Kolektivnog ugovora tijekom kalendarske godine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. Doprinosi za obvezno zdravstveno osiguranje prate troškove plaća redovnog rada i posebnih uvjeta te bilježe povećanje od </w:t>
      </w:r>
      <w:r w:rsidR="005C35AB" w:rsidRPr="00B10255">
        <w:rPr>
          <w:rFonts w:ascii="Arial" w:eastAsia="Times New Roman" w:hAnsi="Arial" w:cs="Arial"/>
          <w:kern w:val="0"/>
          <w:lang w:eastAsia="hr-HR"/>
          <w14:ligatures w14:val="none"/>
        </w:rPr>
        <w:t>41,99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%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 u odnosu na isto razdoblje 202</w:t>
      </w:r>
      <w:r w:rsidR="000D0920" w:rsidRPr="00B10255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. godine, a s osnove povećanja</w:t>
      </w:r>
      <w:r w:rsidR="006867B3">
        <w:rPr>
          <w:rFonts w:ascii="Arial" w:eastAsia="Times New Roman" w:hAnsi="Arial" w:cs="Arial"/>
          <w:kern w:val="0"/>
          <w:lang w:eastAsia="hr-HR"/>
          <w14:ligatures w14:val="none"/>
        </w:rPr>
        <w:t xml:space="preserve"> osnovice za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plać</w:t>
      </w:r>
      <w:r w:rsidR="006867B3">
        <w:rPr>
          <w:rFonts w:ascii="Arial" w:eastAsia="Times New Roman" w:hAnsi="Arial" w:cs="Arial"/>
          <w:kern w:val="0"/>
          <w:lang w:eastAsia="hr-HR"/>
          <w14:ligatures w14:val="none"/>
        </w:rPr>
        <w:t>e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temeljem Kolektivnog ugovora.  </w:t>
      </w:r>
    </w:p>
    <w:p w14:paraId="1071F8B6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F5F13FD" w14:textId="740E740C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B10255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MATERIJALNI RASHODI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planirani su u iznosu </w:t>
      </w:r>
      <w:r w:rsidR="003025BD" w:rsidRPr="00B10255">
        <w:rPr>
          <w:rFonts w:ascii="Arial" w:eastAsia="Times New Roman" w:hAnsi="Arial" w:cs="Arial"/>
          <w:kern w:val="0"/>
          <w:lang w:eastAsia="hr-HR"/>
          <w14:ligatures w14:val="none"/>
        </w:rPr>
        <w:t>314.250,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00 eura, a izvršeni su u iznosu od </w:t>
      </w:r>
      <w:r w:rsidR="003025BD" w:rsidRPr="00B10255">
        <w:rPr>
          <w:rFonts w:ascii="Arial" w:eastAsia="Times New Roman" w:hAnsi="Arial" w:cs="Arial"/>
          <w:kern w:val="0"/>
          <w:lang w:eastAsia="hr-HR"/>
          <w14:ligatures w14:val="none"/>
        </w:rPr>
        <w:t>143.213,74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eura ili </w:t>
      </w:r>
      <w:r w:rsidR="002258B5" w:rsidRPr="00B10255">
        <w:rPr>
          <w:rFonts w:ascii="Arial" w:eastAsia="Times New Roman" w:hAnsi="Arial" w:cs="Arial"/>
          <w:kern w:val="0"/>
          <w:lang w:eastAsia="hr-HR"/>
          <w14:ligatures w14:val="none"/>
        </w:rPr>
        <w:t>45,57</w:t>
      </w:r>
      <w:r w:rsidR="003025BD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% </w:t>
      </w:r>
      <w:r w:rsidR="003025BD" w:rsidRPr="00B10255">
        <w:rPr>
          <w:rFonts w:ascii="Arial" w:eastAsia="Times New Roman" w:hAnsi="Arial" w:cs="Arial"/>
          <w:kern w:val="0"/>
          <w:lang w:eastAsia="hr-HR"/>
          <w14:ligatures w14:val="none"/>
        </w:rPr>
        <w:t>Izvornog plana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 202</w:t>
      </w:r>
      <w:r w:rsidR="003025BD" w:rsidRPr="00B10255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. godinu</w:t>
      </w:r>
      <w:r w:rsidR="002258B5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U odnosu na isto izvještajno razdoblje 202</w:t>
      </w:r>
      <w:r w:rsidR="00D37C1D" w:rsidRPr="00B10255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. godin</w:t>
      </w:r>
      <w:r w:rsidR="00D37C1D" w:rsidRPr="00B10255">
        <w:rPr>
          <w:rFonts w:ascii="Arial" w:eastAsia="Times New Roman" w:hAnsi="Arial" w:cs="Arial"/>
          <w:kern w:val="0"/>
          <w:lang w:eastAsia="hr-HR"/>
          <w14:ligatures w14:val="none"/>
        </w:rPr>
        <w:t>u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rashodi su veći za </w:t>
      </w:r>
      <w:r w:rsidR="002258B5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32,58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%. </w:t>
      </w:r>
      <w:r w:rsidR="00B94B7C" w:rsidRPr="00B10255">
        <w:rPr>
          <w:rFonts w:ascii="Arial" w:eastAsia="Times New Roman" w:hAnsi="Arial" w:cs="Arial"/>
          <w:kern w:val="0"/>
          <w:lang w:eastAsia="hr-HR"/>
          <w14:ligatures w14:val="none"/>
        </w:rPr>
        <w:t>Do povećanje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odnosu na 202</w:t>
      </w:r>
      <w:r w:rsidR="002258B5" w:rsidRPr="00B10255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. godinu došlo je prvenstveno zbog dinamike</w:t>
      </w:r>
      <w:r w:rsidR="00B94B7C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>metode</w:t>
      </w:r>
      <w:r w:rsidR="00B94B7C"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i obujma</w:t>
      </w:r>
      <w:r w:rsidRPr="00B10255">
        <w:rPr>
          <w:rFonts w:ascii="Arial" w:eastAsia="Times New Roman" w:hAnsi="Arial" w:cs="Arial"/>
          <w:kern w:val="0"/>
          <w:lang w:eastAsia="hr-HR"/>
          <w14:ligatures w14:val="none"/>
        </w:rPr>
        <w:t xml:space="preserve"> provedbe repriznih i  premijernih </w:t>
      </w:r>
      <w:r w:rsidR="00B94B7C" w:rsidRPr="00B10255">
        <w:rPr>
          <w:rFonts w:ascii="Arial" w:eastAsia="Times New Roman" w:hAnsi="Arial" w:cs="Arial"/>
          <w:kern w:val="0"/>
          <w:lang w:eastAsia="hr-HR"/>
          <w14:ligatures w14:val="none"/>
        </w:rPr>
        <w:t>naslova.</w:t>
      </w:r>
    </w:p>
    <w:p w14:paraId="7D8EC1C0" w14:textId="7124E6B3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10255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B10255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Rashodi za naknade troškova zaposlenima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izvršeni su u iznosu </w:t>
      </w:r>
      <w:r w:rsidR="002258B5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22.811,13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eura, a u odnosu na isto razdoblje 202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manji su za 1,62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</w:t>
      </w:r>
      <w:r w:rsidR="008377A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odnose se na naknade troškova za službena putovanja, 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naknade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za prijevoz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, za rad na terenu i odvojeni život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, stručno usavršavanje zaposlenika te ostalih naknada troškova zaposlenika.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Rashodi za službena putovanja na razini su prošlogodišnjih. Rashodi za naknade za prijevoz, za rad na terenu i odvojeni život povećani su za 7,51 % u odnosu na isto razdoblje protekle godine obzirom na povećanje prijevozničkih cijena u izvještajnom razdoblju.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Rashodi za stručno usavršavanje zaposlenika  u odnosu na isto razdoblje u 202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smanjeni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i iznose 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902,75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ili </w:t>
      </w:r>
      <w:r w:rsidR="008377A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55,7</w:t>
      </w:r>
      <w:r w:rsidR="006C6C56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0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% 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manje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obzirom da je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="008377AA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u proteklom razdoblju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djelatnica  sudjelovala na dva seminara vezano za produljenje certifikata za javnu nabavu te je u 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prethodnom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obračunskom razdoblju postojala povećana potreba za stručnim seminarima vezano za pravne i računovodstvene poslove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što nije bio slučaj u tekućem razdoblju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U izvještajnom razdoblju 2025. godine nije bilo potrebe za  troškovima za o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stale naknade zaposlenima 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kao što je to bio slučaj u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202</w:t>
      </w:r>
      <w:r w:rsidR="005D07B1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godini, a  odnosili s</w:t>
      </w:r>
      <w:r w:rsidR="009B2EFC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se na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="00D37C1D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sudjelovanje našeg djelatnika u koprodukcijskoj predstavi. </w:t>
      </w:r>
    </w:p>
    <w:p w14:paraId="68ABD1DE" w14:textId="6DE7F012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  <w:r w:rsidRPr="00B10255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Rashodi za materijal i energiju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izvršeni su u iznosu </w:t>
      </w:r>
      <w:r w:rsidR="00E377B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18.147,79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i u odnosu na isto razdoblje 202</w:t>
      </w:r>
      <w:r w:rsidR="00E377B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</w:t>
      </w:r>
      <w:r w:rsidR="00E377B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manji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za </w:t>
      </w:r>
      <w:r w:rsidR="00E377B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4,61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 Rashodi za uredski materijal i sirovine iznose 1.937,66 eura i povećani su za 42,68 % u odnosu na prethodno razdoblje.</w:t>
      </w:r>
      <w:r w:rsidR="00AC7C8C" w:rsidRPr="00B10255">
        <w:rPr>
          <w:rFonts w:ascii="Arial" w:eastAsia="Times New Roman" w:hAnsi="Arial" w:cs="Arial"/>
          <w:lang w:eastAsia="hr-HR"/>
        </w:rPr>
        <w:t xml:space="preserve"> Najvećim dijelom na povećanje je utjecalo različito knjiženje materijala za potrebe redovnog poslovanja, odnosno nabave hrane i pića za potrebe premijera u iznosu 471,14 eura što je utjecalo na povećanje ukupnih rashoda.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Rashodi za materijal i sirovine u odnosu na isto razdoblje 202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manji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za 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12,20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%, a najvećim dijelom odnosi se na dobavu materijala za izradu </w:t>
      </w:r>
      <w:r w:rsidR="006C6C56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repriznih i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premijernih naslova. 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Smanjenje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je uzrokovano različit</w:t>
      </w:r>
      <w:r w:rsidR="0048154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im obujmom,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dinamikom i metodom provedbe premijernih </w:t>
      </w:r>
      <w:r w:rsidR="00AC7C8C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i repriznih naslova. Rashodi za ene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rgiju na razini su prethodnog razdoblja i iznose 8.956,32 eura.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Rashodi za materijal i dijelove za tekuće i investicijsko održavanje iznose </w:t>
      </w:r>
      <w:r w:rsidR="0080594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837,81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eura, a u odnosu na isto razdoblje 202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</w:t>
      </w:r>
      <w:r w:rsidR="0080594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smanjeni su 40,94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% što je odraz </w:t>
      </w:r>
      <w:r w:rsidR="0080594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manje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potrebe za sitnim popravcima i dinamike kvarova. Nabava sitnog inventara u razdoblju I-VI mjeseca 202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iznosi 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64,6</w:t>
      </w:r>
      <w:r w:rsidR="00D9795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0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te je u odnosu na 202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smanjena 81,75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% iz razloga što je u 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u prethodnom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izvještajnom razdoblju nabavljen  sitni alat za potrebe radione  što nije bio slučaj u 202</w:t>
      </w:r>
      <w:r w:rsidR="005835C4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 godini.</w:t>
      </w:r>
      <w:r w:rsidR="003C1254" w:rsidRPr="00B10255">
        <w:rPr>
          <w:rFonts w:ascii="Arial" w:eastAsia="Times New Roman" w:hAnsi="Arial" w:cs="Arial"/>
          <w:lang w:eastAsia="hr-HR"/>
        </w:rPr>
        <w:t xml:space="preserve"> Službena, radna i zaštitna odjeća </w:t>
      </w:r>
      <w:r w:rsidR="003C1254" w:rsidRPr="00B10255">
        <w:rPr>
          <w:rFonts w:ascii="Arial" w:eastAsia="Times New Roman" w:hAnsi="Arial" w:cs="Arial"/>
          <w:lang w:eastAsia="hr-HR"/>
        </w:rPr>
        <w:lastRenderedPageBreak/>
        <w:t>i obuća iznosi 392,65 eura te se odnosi na kupovinu radne obuće i odjeće djelatnike ansambla i tehnike.</w:t>
      </w:r>
    </w:p>
    <w:p w14:paraId="04E6BD19" w14:textId="2DDD133E" w:rsidR="007F3DFA" w:rsidRPr="00B10255" w:rsidRDefault="00E97E85" w:rsidP="007F3DF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0255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B10255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Rashodi za usluge 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izvršeni su u iznosu </w:t>
      </w:r>
      <w:r w:rsidR="000077E8" w:rsidRPr="00B10255">
        <w:rPr>
          <w:rFonts w:ascii="Arial" w:eastAsia="Calibri" w:hAnsi="Arial" w:cs="Arial"/>
          <w:color w:val="000000"/>
          <w:kern w:val="0"/>
          <w14:ligatures w14:val="none"/>
        </w:rPr>
        <w:t>97.366,15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eura  </w:t>
      </w:r>
      <w:bookmarkStart w:id="2" w:name="_Hlk172287800"/>
      <w:r w:rsidRPr="00B10255">
        <w:rPr>
          <w:rFonts w:ascii="Arial" w:eastAsia="Calibri" w:hAnsi="Arial" w:cs="Arial"/>
          <w:color w:val="000000"/>
          <w:kern w:val="0"/>
          <w14:ligatures w14:val="none"/>
        </w:rPr>
        <w:t>i u odnosu na isto razdoblje 202</w:t>
      </w:r>
      <w:r w:rsidR="000077E8" w:rsidRPr="00B10255">
        <w:rPr>
          <w:rFonts w:ascii="Arial" w:eastAsia="Calibri" w:hAnsi="Arial" w:cs="Arial"/>
          <w:color w:val="000000"/>
          <w:kern w:val="0"/>
          <w14:ligatures w14:val="none"/>
        </w:rPr>
        <w:t>4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>. godin</w:t>
      </w:r>
      <w:r w:rsidR="007C7408">
        <w:rPr>
          <w:rFonts w:ascii="Arial" w:eastAsia="Calibri" w:hAnsi="Arial" w:cs="Arial"/>
          <w:color w:val="000000"/>
          <w:kern w:val="0"/>
          <w14:ligatures w14:val="none"/>
        </w:rPr>
        <w:t>e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veći su za </w:t>
      </w:r>
      <w:r w:rsidR="000077E8"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62,77 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>%</w:t>
      </w:r>
      <w:bookmarkEnd w:id="2"/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 odnosu na razdoblje I-VI 202</w:t>
      </w:r>
      <w:r w:rsidR="000077E8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usluge tekućeg i investicijskog održavanja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veće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za </w:t>
      </w:r>
      <w:r w:rsidR="007C7408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</w:t>
      </w:r>
      <w:r w:rsidR="000077E8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41,69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</w:t>
      </w:r>
      <w:r w:rsidR="00E97EEE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 iznose 9.410,60 eura.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</w:t>
      </w:r>
      <w:r w:rsidR="007F3DFA" w:rsidRPr="00B10255">
        <w:rPr>
          <w:rFonts w:ascii="Arial" w:eastAsia="Times New Roman" w:hAnsi="Arial" w:cs="Arial"/>
          <w:lang w:eastAsia="hr-HR"/>
        </w:rPr>
        <w:t>Do povećanja je došlo najvećim dijelom zbog zamjene zavjesa na sceni u iznosu 3.700,00 eura, servisa novog službenog kombija u iznosu 1.469,58 eura te zamjene dijela rasvjete u radioni u iznosu 1.207,50 eura što nije bio slučaj u u 2024. godini.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Izdaci za zakupnine i najamnine izvršeni su u iznosu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4.995,83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i </w:t>
      </w:r>
      <w:r w:rsidR="007F3DFA" w:rsidRPr="00B10255">
        <w:rPr>
          <w:rFonts w:ascii="Arial" w:eastAsia="Times New Roman" w:hAnsi="Arial" w:cs="Arial"/>
          <w:lang w:eastAsia="hr-HR"/>
        </w:rPr>
        <w:t xml:space="preserve"> povećane su za 160,63%, a odnose se na operativni lizing za kombi vozilo koje je u upotrebi od svibnja 2024. godine dok je trošak u 2025. godini u cijelom izvještajnom razdoblju za sve mjesece. Također na povećanje su utjecali i veći troškovi najma fotokopirnog aparata u odnosu na proteklo razdoblje.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Troškovi za z</w:t>
      </w:r>
      <w:r w:rsidR="007F3DFA" w:rsidRPr="00B10255">
        <w:rPr>
          <w:rFonts w:ascii="Arial" w:eastAsia="Times New Roman" w:hAnsi="Arial" w:cs="Arial"/>
          <w:lang w:eastAsia="hr-HR"/>
        </w:rPr>
        <w:t>dravstvene i veterinarske usluge povećane su za 114,45% te iznose 248,72 eura, a odnose se na obvezne redovne zdravstvene preglede djelatnika</w:t>
      </w:r>
      <w:r w:rsidR="00055DC9">
        <w:rPr>
          <w:rFonts w:ascii="Arial" w:eastAsia="Times New Roman" w:hAnsi="Arial" w:cs="Arial"/>
          <w:lang w:eastAsia="hr-HR"/>
        </w:rPr>
        <w:t>.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Izdaci za intelektualne usluge povećani su za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46,60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 u odnosu na isto razdoblje 202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godine  te iznose 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49.381,23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obzirom da su u razdoblju I-VI 202</w:t>
      </w:r>
      <w:r w:rsidR="007F3DFA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 godine premijerni programi realizirani u većem obujmu, odnosno zbog različite dinamike realizacije premijernih i drugih programa</w:t>
      </w:r>
      <w:r w:rsidR="005D13EE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  <w:r w:rsidR="007F3DFA" w:rsidRPr="00B10255">
        <w:rPr>
          <w:rFonts w:ascii="Arial" w:eastAsia="Times New Roman" w:hAnsi="Arial" w:cs="Arial"/>
          <w:lang w:eastAsia="hr-HR"/>
        </w:rPr>
        <w:t xml:space="preserve"> Ostale usluge povećane su za 165,93% zbog različite dinamike i metode realizacije premijernih i drugih programa. Najvećim dijelom na povećanje je utjecala realizacija dijela festivala Ljeta u Rijeci u sklopu Tobogana  u iznosu 7.722,22 eura koji je započeo u lipnju  2025. dok se u proteklom razdoblju program održao u cjelosti u srpnju 2024. godine.</w:t>
      </w:r>
    </w:p>
    <w:p w14:paraId="34E1BB12" w14:textId="4BCCC176" w:rsidR="00794A73" w:rsidRPr="00B10255" w:rsidRDefault="00794A73" w:rsidP="000616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0255">
        <w:rPr>
          <w:rFonts w:ascii="Arial" w:eastAsia="Times New Roman" w:hAnsi="Arial" w:cs="Arial"/>
          <w:lang w:eastAsia="hr-HR"/>
        </w:rPr>
        <w:tab/>
      </w:r>
      <w:r w:rsidRPr="00B10255">
        <w:rPr>
          <w:rFonts w:ascii="Arial" w:eastAsia="Times New Roman" w:hAnsi="Arial" w:cs="Arial"/>
          <w:b/>
          <w:bCs/>
          <w:lang w:eastAsia="hr-HR"/>
        </w:rPr>
        <w:t xml:space="preserve">Naknade troškova osobama izvan radnog odnosa </w:t>
      </w:r>
      <w:r w:rsidRPr="00B10255">
        <w:rPr>
          <w:rFonts w:ascii="Arial" w:eastAsia="Times New Roman" w:hAnsi="Arial" w:cs="Arial"/>
          <w:lang w:eastAsia="hr-HR"/>
        </w:rPr>
        <w:t xml:space="preserve">u izvještajnom </w:t>
      </w:r>
      <w:r w:rsidR="00171230">
        <w:rPr>
          <w:rFonts w:ascii="Arial" w:eastAsia="Times New Roman" w:hAnsi="Arial" w:cs="Arial"/>
          <w:lang w:eastAsia="hr-HR"/>
        </w:rPr>
        <w:t xml:space="preserve">razdoblju </w:t>
      </w:r>
      <w:r w:rsidRPr="00B10255">
        <w:rPr>
          <w:rFonts w:ascii="Arial" w:eastAsia="Times New Roman" w:hAnsi="Arial" w:cs="Arial"/>
          <w:lang w:eastAsia="hr-HR"/>
        </w:rPr>
        <w:t>iznose 1.194,50 eura i odnose se na troškove smještaja vanjskih suradnika za potrebe realizacije premijernih naslova. Navedenih troškova u proteklom razdoblju nije bilo.</w:t>
      </w:r>
    </w:p>
    <w:p w14:paraId="622E0D35" w14:textId="5257B651" w:rsidR="00A26780" w:rsidRPr="00B10255" w:rsidRDefault="00E97E85" w:rsidP="00A267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0255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B10255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Ostali nespomenuti rashodi poslovanja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izvršeni su u iznosu od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3.694,17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i u odnosu na isto razdoblje 202</w:t>
      </w:r>
      <w:r w:rsidR="00061692" w:rsidRPr="00B10255">
        <w:rPr>
          <w:rFonts w:ascii="Arial" w:eastAsia="Calibri" w:hAnsi="Arial" w:cs="Arial"/>
          <w:color w:val="000000"/>
          <w:kern w:val="0"/>
          <w14:ligatures w14:val="none"/>
        </w:rPr>
        <w:t>4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>. godin</w:t>
      </w:r>
      <w:r w:rsidR="004D05CD">
        <w:rPr>
          <w:rFonts w:ascii="Arial" w:eastAsia="Calibri" w:hAnsi="Arial" w:cs="Arial"/>
          <w:color w:val="000000"/>
          <w:kern w:val="0"/>
          <w14:ligatures w14:val="none"/>
        </w:rPr>
        <w:t>e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061692" w:rsidRPr="00B10255">
        <w:rPr>
          <w:rFonts w:ascii="Arial" w:eastAsia="Calibri" w:hAnsi="Arial" w:cs="Arial"/>
          <w:color w:val="000000"/>
          <w:kern w:val="0"/>
          <w14:ligatures w14:val="none"/>
        </w:rPr>
        <w:t>manji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su za </w:t>
      </w:r>
      <w:r w:rsidR="00061692" w:rsidRPr="00B10255">
        <w:rPr>
          <w:rFonts w:ascii="Arial" w:eastAsia="Calibri" w:hAnsi="Arial" w:cs="Arial"/>
          <w:color w:val="000000"/>
          <w:kern w:val="0"/>
          <w14:ligatures w14:val="none"/>
        </w:rPr>
        <w:t>3</w:t>
      </w:r>
      <w:r w:rsidR="004D05CD">
        <w:rPr>
          <w:rFonts w:ascii="Arial" w:eastAsia="Calibri" w:hAnsi="Arial" w:cs="Arial"/>
          <w:color w:val="000000"/>
          <w:kern w:val="0"/>
          <w14:ligatures w14:val="none"/>
        </w:rPr>
        <w:t>8</w:t>
      </w:r>
      <w:r w:rsidR="00061692"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,36 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>%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Troškovi premija osiguranja prate potrebe vezane za osiguranje djelatnika i auto osiguranja.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Smanjenje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iznosi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381,34 eura ili 15,59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u odnosu na prethodno razdoblje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, a razlog </w:t>
      </w:r>
      <w:r w:rsidR="00B532A6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je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prodaja kombi vozila u 2024. godini.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Izdaci za reprezentaciju u promatranom razdoblju u 202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5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godini iznose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34,04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i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manji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za 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94,25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% odnosu  na isto razdoblje prethodne godine</w:t>
      </w:r>
      <w:r w:rsidR="00061692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. </w:t>
      </w:r>
      <w:r w:rsidR="00061692" w:rsidRPr="00B10255">
        <w:rPr>
          <w:rFonts w:ascii="Arial" w:eastAsia="Times New Roman" w:hAnsi="Arial" w:cs="Arial"/>
          <w:lang w:eastAsia="hr-HR"/>
        </w:rPr>
        <w:t>Najvećim dijelom na smanjenje utjecalo je različito knjiženje materijala za potrebe redovnog poslovanja koje je u prethodnom razdoblju knjiženo na reprezentaciju, a odnosi se na trošak nabave hrane i pića za potrebe premijera u iznosu 471,14 eura.</w:t>
      </w:r>
      <w:r w:rsidR="00905E20" w:rsidRPr="00B10255">
        <w:rPr>
          <w:rFonts w:ascii="Arial" w:eastAsia="Times New Roman" w:hAnsi="Arial" w:cs="Arial"/>
          <w:lang w:eastAsia="hr-HR"/>
        </w:rPr>
        <w:t xml:space="preserve"> Rashodi za članarine i norme povećani su za 34,04 % </w:t>
      </w:r>
      <w:r w:rsidR="00A26780" w:rsidRPr="00B10255">
        <w:rPr>
          <w:rFonts w:ascii="Arial" w:eastAsia="Times New Roman" w:hAnsi="Arial" w:cs="Arial"/>
          <w:lang w:eastAsia="hr-HR"/>
        </w:rPr>
        <w:t xml:space="preserve">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u odnosu na isto razdoblje protekle godine zbog različite dinamike rashoda raspoređenih unutar tekuće godine. Izdaci za pristojbe i naknade iznose </w:t>
      </w:r>
      <w:r w:rsidR="00A26780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191,16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 i </w:t>
      </w:r>
      <w:r w:rsidR="00A26780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smanjeni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su u odnosu na proteklo razdoblje za</w:t>
      </w:r>
      <w:r w:rsidR="00A26780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87,12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% obzirom da</w:t>
      </w:r>
      <w:r w:rsidR="00A26780" w:rsidRPr="00B10255">
        <w:rPr>
          <w:rFonts w:ascii="Arial" w:eastAsia="Times New Roman" w:hAnsi="Arial" w:cs="Arial"/>
          <w:lang w:eastAsia="hr-HR"/>
        </w:rPr>
        <w:t xml:space="preserve"> koristimo oslobođenje za plaćanje kazne za nezapošljavanje invalida temeljem rješenja o invalidnosti djalatnice GKL Rijeka u izvještajnom razdoblju 2025. godine.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Ostali nespomenuti </w:t>
      </w:r>
      <w:r w:rsidR="00A26780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iznose 679,18 eura ili 26,89 % manje u odnosu na prethodno razdoblje, a</w:t>
      </w:r>
      <w:r w:rsidR="00A26780" w:rsidRPr="00B10255">
        <w:rPr>
          <w:rFonts w:ascii="Arial" w:eastAsia="Times New Roman" w:hAnsi="Arial" w:cs="Arial"/>
          <w:lang w:eastAsia="hr-HR"/>
        </w:rPr>
        <w:t xml:space="preserve"> najvećim dijelom odnosi na dinamiku troškova parkinga za službeni kombi u vlasništvu GKL Rijeka.</w:t>
      </w:r>
    </w:p>
    <w:p w14:paraId="28424607" w14:textId="6405B788" w:rsidR="00E97E85" w:rsidRPr="00B10255" w:rsidRDefault="00E97E85" w:rsidP="00A26780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</w:pPr>
    </w:p>
    <w:p w14:paraId="118543FA" w14:textId="35DCD2DA" w:rsidR="00E97E85" w:rsidRPr="00B10255" w:rsidRDefault="00E97E85" w:rsidP="00A2678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10255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B10255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FINANCIJSKI RASHODI 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izvršeni su u  iznosu </w:t>
      </w:r>
      <w:r w:rsidR="002D5B96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124,04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eura</w:t>
      </w:r>
      <w:r w:rsidR="002D5B96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odnosno 16,54 % Izvornog plana obzirom na dinamiku ostvarivanja navedenih troškova. </w:t>
      </w:r>
      <w:r w:rsidR="00385699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U odnosu na prethodno razdoblje bankarske usluge povećane su za 11,54 % na što je utjecalo povećanje naknade za usluge banke. </w:t>
      </w:r>
    </w:p>
    <w:p w14:paraId="408D8199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976E14" w14:textId="5F9CADC4" w:rsidR="00385699" w:rsidRPr="00B10255" w:rsidRDefault="00E97E85" w:rsidP="00E97E85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B10255"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  <w:tab/>
      </w: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 xml:space="preserve">RASHODI ZA NABAVU </w:t>
      </w:r>
      <w:r w:rsidR="00385699"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>N</w:t>
      </w:r>
      <w:r w:rsidR="00E24FAB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>E</w:t>
      </w: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 xml:space="preserve">PROIZVEDENE DUGOTRAJNE IMOVINE </w:t>
      </w:r>
      <w:r w:rsidR="00385699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nisu</w:t>
      </w:r>
      <w:r w:rsidR="00385699"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izvršeni  </w:t>
      </w:r>
      <w:r w:rsidR="00385699"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prom</w:t>
      </w:r>
      <w:r w:rsidR="00E24FAB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385699"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tranom razdoblju, a odnose se na projekt klimatizacije i grijanja gledališta koji je u tijeku te će troškovi teretiti naredno razdoblje 2025. godine. </w:t>
      </w:r>
    </w:p>
    <w:p w14:paraId="63271BDC" w14:textId="77777777" w:rsidR="00385699" w:rsidRPr="00B10255" w:rsidRDefault="00385699" w:rsidP="00E97E85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FB191C4" w14:textId="40AE7B34" w:rsidR="00E97E85" w:rsidRPr="00B10255" w:rsidRDefault="00385699" w:rsidP="0038569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10255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RASHODI ZA NABAVU PROIZVEDENE DUGOTRAJNE IMOVINE</w:t>
      </w:r>
      <w:r w:rsidRPr="00B10255">
        <w:rPr>
          <w:rFonts w:ascii="Arial" w:eastAsia="Calibri" w:hAnsi="Arial" w:cs="Arial"/>
          <w:color w:val="000000"/>
          <w:kern w:val="0"/>
          <w14:ligatures w14:val="none"/>
        </w:rPr>
        <w:t xml:space="preserve"> ostvareni su u iznosu 1.843,74 eura ili 10,6 % Izvornog plana. Plan se odnosi na  </w:t>
      </w:r>
      <w:r w:rsidR="00E97E85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nabavu komunikacijske opreme, opreme za održavanje i zaštitu, sportske i glazbene opreme, te uređaja i opreme </w:t>
      </w:r>
      <w:r w:rsidR="00E97E85"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lastRenderedPageBreak/>
        <w:t>potrebnih za radionu, zgradu i program koja je neophodna za funkcioniranje Kazališta</w:t>
      </w:r>
      <w:r w:rsidRPr="00B10255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te će biti ostvareni u narednom razdoblju.</w:t>
      </w:r>
    </w:p>
    <w:p w14:paraId="2A31D51C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51D7D36B" w14:textId="77777777" w:rsidR="00B94B7C" w:rsidRPr="00B10255" w:rsidRDefault="00B94B7C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</w:p>
    <w:p w14:paraId="16736183" w14:textId="2995CB93" w:rsidR="00B94B7C" w:rsidRPr="00B10255" w:rsidRDefault="00B94B7C" w:rsidP="00B94B7C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>Prihodi prema izvorima financiranja</w:t>
      </w:r>
    </w:p>
    <w:p w14:paraId="439EE61A" w14:textId="642A8FED" w:rsidR="00B94B7C" w:rsidRPr="00B10255" w:rsidRDefault="00B94B7C" w:rsidP="00B94B7C">
      <w:pPr>
        <w:spacing w:after="0" w:line="240" w:lineRule="auto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noProof/>
        </w:rPr>
        <w:drawing>
          <wp:inline distT="0" distB="0" distL="0" distR="0" wp14:anchorId="129012C6" wp14:editId="3FF6F9AC">
            <wp:extent cx="5760720" cy="2480310"/>
            <wp:effectExtent l="0" t="0" r="0" b="0"/>
            <wp:docPr id="1004456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DA1E" w14:textId="77777777" w:rsidR="00B94B7C" w:rsidRPr="00B10255" w:rsidRDefault="00B94B7C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232D9259" w14:textId="77777777" w:rsidR="00AF776A" w:rsidRPr="00B10255" w:rsidRDefault="00D66B88" w:rsidP="00E97E85">
      <w:pPr>
        <w:spacing w:after="0" w:line="240" w:lineRule="auto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ab/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Iz tablice je vidljivo kako su Izvornim planom ukupni prihodi planirani u iznosu 1.507.650,00 eura te izvršeni u iznosu 590.457,72 eura ili 39,16 %. </w:t>
      </w:r>
    </w:p>
    <w:p w14:paraId="5977B270" w14:textId="03F290BB" w:rsidR="00502612" w:rsidRPr="00B10255" w:rsidRDefault="00D66B88" w:rsidP="00AC5A14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Prema izvoru prihoda najveći udio imaju prihodi iz nadležnog proračuna</w:t>
      </w:r>
      <w:r w:rsidR="00AF776A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(izvor 11)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i izvršeni su u iznosu 476.299,56 eura ili 36,85 % plana.</w:t>
      </w:r>
      <w:r w:rsidR="00AF776A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</w:t>
      </w:r>
      <w:r w:rsidR="00AF776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Prihodi su ostvareni u manjem obujmu obzirom da će se projekt klimatizacije i grijanja</w:t>
      </w:r>
      <w:r w:rsidR="0047451A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realizirati u narednom razdoblju</w:t>
      </w:r>
      <w:r w:rsidR="00AF776A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  <w:r w:rsidR="00502612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U odnosu na isto razdoblje 2024. izvršenje</w:t>
      </w:r>
      <w:r w:rsidR="002E4648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502612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prihoda</w:t>
      </w:r>
      <w:r w:rsidR="00155F39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2E4648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iz izvora 11 </w:t>
      </w:r>
      <w:r w:rsidR="00502612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za financiranje rashoda poslovanja veće</w:t>
      </w:r>
      <w:r w:rsidR="002E4648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je</w:t>
      </w:r>
      <w:r w:rsidR="00502612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za 32,41 % najvećim dijelom zbog povećanja osnovice za plaće temeljem Kolektivnog ugovora</w:t>
      </w:r>
      <w:r w:rsidR="00155F39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</w:p>
    <w:p w14:paraId="080747B2" w14:textId="4F6A1898" w:rsidR="00AF776A" w:rsidRPr="00B10255" w:rsidRDefault="00AF776A" w:rsidP="00AC5A14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Vlastiti prihodi iz izvora 31 odnose se na prihode od održavanja r</w:t>
      </w:r>
      <w:r w:rsidR="00DE08D5">
        <w:rPr>
          <w:rFonts w:ascii="Arial" w:eastAsia="SimSun" w:hAnsi="Arial" w:cs="Arial"/>
          <w:bCs/>
          <w:kern w:val="0"/>
          <w:lang w:eastAsia="zh-CN"/>
          <w14:ligatures w14:val="none"/>
        </w:rPr>
        <w:t>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dionic</w:t>
      </w:r>
      <w:r w:rsidR="00DB561B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U razdoblju I-VI 2025. godine ostvareni su u iznosu 400,00 eura ili 6,67% Izvornog plana za 2025. godinu. Prihodi su manje ostvareni u odnosu na </w:t>
      </w:r>
      <w:r w:rsidR="00DE08D5">
        <w:rPr>
          <w:rFonts w:ascii="Arial" w:eastAsia="SimSun" w:hAnsi="Arial" w:cs="Arial"/>
          <w:bCs/>
          <w:kern w:val="0"/>
          <w:lang w:eastAsia="zh-CN"/>
          <w14:ligatures w14:val="none"/>
        </w:rPr>
        <w:t>Izvorni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plan iz razloga što je  održavanje radionica  predviđeno u drugoj polovici godine. U odnosu na 2024. godinu prihod je manji za 65,22 % zbog različite dinamike ostvarivanja radionica tijekom godine.</w:t>
      </w:r>
    </w:p>
    <w:p w14:paraId="2B3310EE" w14:textId="4B90F0A5" w:rsidR="00AF776A" w:rsidRPr="00B10255" w:rsidRDefault="00AF776A" w:rsidP="00970C62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Prihodi za posebne n</w:t>
      </w:r>
      <w:r w:rsidR="005823DC">
        <w:rPr>
          <w:rFonts w:ascii="Arial" w:eastAsia="SimSun" w:hAnsi="Arial" w:cs="Arial"/>
          <w:bCs/>
          <w:kern w:val="0"/>
          <w:lang w:eastAsia="zh-CN"/>
          <w14:ligatures w14:val="none"/>
        </w:rPr>
        <w:t>a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mjene odnosno prihodi od ulaznica ostvareni su u iznosu 47.802,00 eura ili 43,46</w:t>
      </w:r>
      <w:r w:rsidR="005823DC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% u odnosu na Izvorni plan za 2025. godinu. </w:t>
      </w:r>
      <w:r w:rsidR="00ED6BCE" w:rsidRPr="00613FAA">
        <w:rPr>
          <w:rFonts w:ascii="Arial" w:eastAsia="SimSun" w:hAnsi="Arial" w:cs="Arial"/>
          <w:bCs/>
          <w:lang w:eastAsia="zh-CN"/>
        </w:rPr>
        <w:t>Dinamika ostvarivanja prihoda uvjetovana je dinamikom i realizacijom programa Gradskog kazališta lutaka Rijeka te je planirano u narednom razdoblju veće ostvarivanje prihoda u odnosu na prvo polugodište</w:t>
      </w:r>
      <w:r w:rsidR="00ED6BCE">
        <w:rPr>
          <w:rFonts w:ascii="Arial" w:eastAsia="SimSun" w:hAnsi="Arial" w:cs="Arial"/>
          <w:bCs/>
          <w:lang w:eastAsia="zh-CN"/>
        </w:rPr>
        <w:t>.</w:t>
      </w:r>
      <w:r w:rsidR="00140A57">
        <w:rPr>
          <w:rFonts w:ascii="Arial" w:eastAsia="SimSun" w:hAnsi="Arial" w:cs="Arial"/>
          <w:bCs/>
          <w:lang w:eastAsia="zh-CN"/>
        </w:rPr>
        <w:t xml:space="preserve">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U odnosu na izvršenje I-VI 2024. </w:t>
      </w:r>
      <w:r w:rsidRPr="00B10255">
        <w:rPr>
          <w:rFonts w:ascii="Arial" w:eastAsia="Calibri" w:hAnsi="Arial" w:cs="Arial"/>
          <w:kern w:val="0"/>
          <w14:ligatures w14:val="none"/>
        </w:rPr>
        <w:t>godine prihodi od ulaznica manji su za 1,62 % te su na razini prošlogodišnjih prihoda.</w:t>
      </w:r>
    </w:p>
    <w:p w14:paraId="5651237F" w14:textId="032A588D" w:rsidR="00614991" w:rsidRPr="00614991" w:rsidRDefault="00AF776A" w:rsidP="00970C62">
      <w:pPr>
        <w:spacing w:line="240" w:lineRule="auto"/>
        <w:jc w:val="both"/>
        <w:rPr>
          <w:rFonts w:ascii="Arial" w:hAnsi="Arial" w:cs="Arial"/>
          <w:b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Prihodi od pomoći iz izvora 57 ostvareni su u iznosu 65.956,16 eura ili 66,89 % Izvornog  plana za 2025. godinu. Prihodi koji se odnose na tekuće pomoći odnose se na sredstva ostvarena od Ministarstva kulture i medija i Primorsko-goranske županije. U odnosu na 2024. godinu izvršenje je veće za 74,76 % zbog različite dinamike ostvarivanja programa kao i više ostvarenih prihoda od strane Ministarstva medija i kulture i Primorsko goranske županije za realizaciju programa.</w:t>
      </w:r>
      <w:r w:rsidR="00614991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614991" w:rsidRPr="00614991">
        <w:rPr>
          <w:rFonts w:ascii="Arial" w:eastAsia="SimSun" w:hAnsi="Arial" w:cs="Arial"/>
          <w:bCs/>
          <w:kern w:val="0"/>
          <w:lang w:eastAsia="zh-CN"/>
          <w14:ligatures w14:val="none"/>
        </w:rPr>
        <w:t>Nadalje</w:t>
      </w:r>
      <w:r w:rsidR="00614991">
        <w:rPr>
          <w:rFonts w:ascii="Arial" w:eastAsia="SimSun" w:hAnsi="Arial" w:cs="Arial"/>
          <w:bCs/>
          <w:kern w:val="0"/>
          <w:lang w:eastAsia="zh-CN"/>
          <w14:ligatures w14:val="none"/>
        </w:rPr>
        <w:t>,</w:t>
      </w:r>
      <w:r w:rsidR="00614991" w:rsidRPr="00614991">
        <w:rPr>
          <w:rFonts w:ascii="Arial" w:hAnsi="Arial" w:cs="Arial"/>
        </w:rPr>
        <w:t xml:space="preserve"> </w:t>
      </w:r>
      <w:r w:rsidR="00614991">
        <w:rPr>
          <w:rFonts w:ascii="Arial" w:hAnsi="Arial" w:cs="Arial"/>
        </w:rPr>
        <w:t>o</w:t>
      </w:r>
      <w:r w:rsidR="00614991" w:rsidRPr="00614991">
        <w:rPr>
          <w:rFonts w:ascii="Arial" w:hAnsi="Arial" w:cs="Arial"/>
        </w:rPr>
        <w:t>stvarenje prihoda za zamjenu zavjesa na pozornici temeljem Ugovora sa Ministarstvom kulture i medija izvršen je  početkom srpnja . Ministarstvo kulture i medija povrat sredstava isplaćuje nakon izvršene usluge čime je uvjetovana neravnoteža unutar polugodišta koja se je poravnala početkom srpnja</w:t>
      </w:r>
      <w:r w:rsidR="00190F03">
        <w:rPr>
          <w:rFonts w:ascii="Arial" w:hAnsi="Arial" w:cs="Arial"/>
        </w:rPr>
        <w:t xml:space="preserve"> te će biti uvrštena u prve izmjene i dopune finanicjskog plana za 2025. godinu.</w:t>
      </w:r>
      <w:r w:rsidR="00614991" w:rsidRPr="00614991">
        <w:rPr>
          <w:rFonts w:ascii="Arial" w:hAnsi="Arial" w:cs="Arial"/>
        </w:rPr>
        <w:t xml:space="preserve"> </w:t>
      </w:r>
      <w:r w:rsidR="00614991" w:rsidRPr="00614991">
        <w:rPr>
          <w:rFonts w:ascii="Arial" w:hAnsi="Arial" w:cs="Arial"/>
          <w:color w:val="000000"/>
        </w:rPr>
        <w:t xml:space="preserve"> </w:t>
      </w:r>
    </w:p>
    <w:p w14:paraId="37A1614D" w14:textId="4EAE49DE" w:rsidR="00AF776A" w:rsidRPr="00B10255" w:rsidRDefault="00AC5A14" w:rsidP="00AF776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10255">
        <w:rPr>
          <w:rFonts w:ascii="Arial" w:eastAsia="Calibri" w:hAnsi="Arial" w:cs="Arial"/>
          <w:kern w:val="0"/>
          <w14:ligatures w14:val="none"/>
        </w:rPr>
        <w:tab/>
        <w:t>Prihodi iz izvora 62 planir</w:t>
      </w:r>
      <w:r w:rsidR="00FC5777">
        <w:rPr>
          <w:rFonts w:ascii="Arial" w:eastAsia="Calibri" w:hAnsi="Arial" w:cs="Arial"/>
          <w:kern w:val="0"/>
          <w14:ligatures w14:val="none"/>
        </w:rPr>
        <w:t>ani</w:t>
      </w:r>
      <w:r w:rsidRPr="00B10255">
        <w:rPr>
          <w:rFonts w:ascii="Arial" w:eastAsia="Calibri" w:hAnsi="Arial" w:cs="Arial"/>
          <w:kern w:val="0"/>
          <w14:ligatures w14:val="none"/>
        </w:rPr>
        <w:t xml:space="preserve"> su u narednom izvještajnom razdoblju.</w:t>
      </w:r>
    </w:p>
    <w:p w14:paraId="065A580E" w14:textId="77777777" w:rsidR="00D66B88" w:rsidRPr="00B10255" w:rsidRDefault="00D66B88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4EB0F055" w14:textId="69A70E97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lastRenderedPageBreak/>
        <w:t>Rashodi prema izvorima financiranja</w:t>
      </w:r>
    </w:p>
    <w:p w14:paraId="2C4440F6" w14:textId="5CB9E463" w:rsidR="00B94B7C" w:rsidRPr="00B10255" w:rsidRDefault="00B73044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noProof/>
        </w:rPr>
        <w:drawing>
          <wp:inline distT="0" distB="0" distL="0" distR="0" wp14:anchorId="4B8E372D" wp14:editId="2A7D8FB2">
            <wp:extent cx="5760720" cy="2855595"/>
            <wp:effectExtent l="0" t="0" r="0" b="1905"/>
            <wp:docPr id="3564944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E89F" w14:textId="77777777" w:rsidR="001D7502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ab/>
      </w:r>
    </w:p>
    <w:p w14:paraId="7500CC69" w14:textId="02CE21B4" w:rsidR="00E97E85" w:rsidRPr="00B10255" w:rsidRDefault="00E97E85" w:rsidP="001D7502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Rashodi iz izvora Opći prihodi i primici planirani su u iznosu 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1.517.650,00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eura, a ostvareni u iznosu 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582.501,01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eura ili 3</w:t>
      </w:r>
      <w:r w:rsidR="001D7502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8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,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38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% 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Izvornog plana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. Ostvarenje je manje u odnosu na 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Izvorni plan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obzirom da će projekt za klimatizaciju i grijanje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biti ostvaren u narednom razdoblju.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U odnosu na 202</w:t>
      </w:r>
      <w:r w:rsidR="001D7502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. godinu rashodi su veći za </w:t>
      </w:r>
      <w:r w:rsidR="00820B72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34,22</w:t>
      </w:r>
      <w:r w:rsidR="005D2CD7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% </w:t>
      </w:r>
      <w:r w:rsidR="00EA31C2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najvećim dijelom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zbog</w:t>
      </w:r>
      <w:r w:rsidR="005D2CD7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povećanja 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osnovice temeljem Kolektivnog ugovora u 202</w:t>
      </w:r>
      <w:r w:rsidR="005D2CD7"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. godini</w:t>
      </w:r>
      <w:r w:rsidR="001D7502">
        <w:rPr>
          <w:rFonts w:ascii="Arial" w:eastAsia="SimSun" w:hAnsi="Arial" w:cs="Arial"/>
          <w:bCs/>
          <w:kern w:val="0"/>
          <w:lang w:eastAsia="zh-CN"/>
          <w14:ligatures w14:val="none"/>
        </w:rPr>
        <w:t>.</w:t>
      </w:r>
    </w:p>
    <w:p w14:paraId="3AAEC8B0" w14:textId="76C1676D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ab/>
        <w:t xml:space="preserve">Rashodi iz izvora Vlastiti prihodi planirani su u iznosu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6.000,00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eura, a ostvareni u iznosu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371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,0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odnosno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6,18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% </w:t>
      </w:r>
      <w:r w:rsidR="00DC3986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Izvornog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plana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. Ostvarenje  je manje u odnosu na plan obzirom da se</w:t>
      </w:r>
      <w:r w:rsidR="00DC3986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navedeni rashodi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planiraju u narednom razdoblju.</w:t>
      </w:r>
    </w:p>
    <w:p w14:paraId="5E55DB2E" w14:textId="4A0CB5B9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ab/>
        <w:t>Rashodi iz izvora Prihodi za posebne namjene (prihodi od ulaznica) planirani su u iznosu 1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10.000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,00 eura, a izvršeni u iznosu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55.148,72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eura ili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50,14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%</w:t>
      </w:r>
      <w:r w:rsidR="00803D1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Izvornog plana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. U odnosu na 202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. godinu izvršenje je veće za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23,18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%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na što je utjecala različita dinamika, obujam i metode ostvarivanja premijernih i repriznih programa što će se </w:t>
      </w:r>
      <w:r w:rsidR="00A4235D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uskladiti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do kraja izvještajnog razdoblja.</w:t>
      </w:r>
    </w:p>
    <w:p w14:paraId="1EC66C59" w14:textId="38F53FA7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Rashodi iz izvora pomoći odnose se na sredstva Ministarstva kulture i medija te Primorsko-goranske županije i planirani su u iznosu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98.600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,00 eura, a izvršeni u iznosu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28.848,59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odnosno 2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9</w:t>
      </w:r>
      <w:r w:rsidR="008C7C97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,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26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% 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Izvornog plana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. Ostvarenje</w:t>
      </w:r>
      <w:r w:rsidR="00B242EA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je manje u odnosu na Izvorni plan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obzirom da terminskim planom u narednom razdoblju slijedi izvršenje trećeg  premijernog naslova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, programa Ruksak pun kulture te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Revije lutkarskih kazališta. Izvršenje u odnosu na 202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4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. godinu veće je za </w:t>
      </w:r>
      <w:r w:rsidR="008C7C97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1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26,44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% na što je utjecala različita dinamika ostvarivanja programa odnosno obujam pojedinačnih premijera raspoređenih tijekom cijele 202</w:t>
      </w:r>
      <w:r w:rsidR="00B70C72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5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. godine.</w:t>
      </w:r>
    </w:p>
    <w:p w14:paraId="3D3756BE" w14:textId="363B433F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Rashodi temeljem donacija planirani su u iznosu 500,00 eura i nisu izvršeni u promatranom razdoblj</w:t>
      </w:r>
      <w:r w:rsidR="008C7C97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u.</w:t>
      </w:r>
    </w:p>
    <w:p w14:paraId="140DDD37" w14:textId="1FD03FD3" w:rsidR="00965B3D" w:rsidRPr="00B10255" w:rsidRDefault="00965B3D" w:rsidP="00965B3D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U 2025. godini  Izvornim planom planirano je izvršenje viška  u iznosu 10.000,00 eura  temeljem Odluka Kazališnog vijeća od 30.01.2025. </w:t>
      </w:r>
      <w:r w:rsidR="008C7C97">
        <w:rPr>
          <w:rFonts w:ascii="Arial" w:eastAsia="SimSun" w:hAnsi="Arial" w:cs="Arial"/>
          <w:bCs/>
          <w:kern w:val="0"/>
          <w:lang w:eastAsia="zh-CN"/>
          <w14:ligatures w14:val="none"/>
        </w:rPr>
        <w:t>godine.</w:t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U promatranom razdoblju utrošeno je 4.995,83 eura ili 49,96 % u odnosu na planirani Izvorni plan te će ostatak viška biti realiziran u narednom razdoblju. 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Prema strukturi planiranog viška po izvorima, odlukom o raspodjeli rezultata poslovanja raspoređeno je po izvoru 94 za materijalne rashode 10.000,00 eura.  </w:t>
      </w:r>
    </w:p>
    <w:p w14:paraId="6FEDE241" w14:textId="77777777" w:rsidR="00965B3D" w:rsidRPr="00B10255" w:rsidRDefault="00965B3D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5DC71E78" w14:textId="7353C65D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t>Račun rashoda prema funkcijakoj klasifikaciji</w:t>
      </w:r>
    </w:p>
    <w:p w14:paraId="3AE8B716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0CC4AA80" w14:textId="79414EAF" w:rsidR="00E97E85" w:rsidRPr="00B10255" w:rsidRDefault="00E97E85" w:rsidP="00965B3D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U izvještaju o rashodima prema funkcijskoj klasifikaciji 08 Rekreacija, kultura, religija  ostvareno je </w:t>
      </w:r>
      <w:r w:rsidR="00965B3D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1.517.650,00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eura ili 3</w:t>
      </w:r>
      <w:r w:rsidR="00965B3D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8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,</w:t>
      </w:r>
      <w:r w:rsidR="00965B3D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3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8% godišnjeg planiranog </w:t>
      </w:r>
      <w:r w:rsidR="00965B3D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Izvornog plana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 xml:space="preserve"> i </w:t>
      </w:r>
      <w:r w:rsidR="00965B3D"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34,22</w:t>
      </w: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% više u odnosu na isto razdoblje prethodne godine.</w:t>
      </w:r>
    </w:p>
    <w:p w14:paraId="6FCDAC5D" w14:textId="77777777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</w:p>
    <w:p w14:paraId="405A7102" w14:textId="77777777" w:rsidR="00E97E85" w:rsidRPr="00B10255" w:rsidRDefault="00E97E85" w:rsidP="00E97E85">
      <w:pPr>
        <w:spacing w:after="0" w:line="240" w:lineRule="auto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  <w:lastRenderedPageBreak/>
        <w:t>Račun financiranja</w:t>
      </w:r>
    </w:p>
    <w:p w14:paraId="68AE3211" w14:textId="77777777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7DC395EE" w14:textId="77777777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Cs/>
          <w:color w:val="000000"/>
          <w:kern w:val="0"/>
          <w:lang w:eastAsia="zh-CN"/>
          <w14:ligatures w14:val="none"/>
        </w:rPr>
        <w:t>Gradsko kazalište lutaka Rijeka nema stavke primitaka i izdataka.</w:t>
      </w:r>
    </w:p>
    <w:p w14:paraId="535BD0E8" w14:textId="77777777" w:rsidR="00E97E85" w:rsidRPr="00B10255" w:rsidRDefault="00E97E85" w:rsidP="00E97E85">
      <w:pPr>
        <w:spacing w:after="0" w:line="240" w:lineRule="auto"/>
        <w:ind w:firstLine="708"/>
        <w:jc w:val="both"/>
        <w:rPr>
          <w:rFonts w:ascii="Arial" w:eastAsia="SimSun" w:hAnsi="Arial" w:cs="Arial"/>
          <w:b/>
          <w:color w:val="000000"/>
          <w:kern w:val="0"/>
          <w:lang w:eastAsia="zh-CN"/>
          <w14:ligatures w14:val="none"/>
        </w:rPr>
      </w:pPr>
    </w:p>
    <w:p w14:paraId="046A4175" w14:textId="77777777" w:rsidR="00E97E85" w:rsidRPr="00B10255" w:rsidRDefault="00E97E85" w:rsidP="00E97E85">
      <w:pPr>
        <w:spacing w:after="0" w:line="276" w:lineRule="auto"/>
        <w:jc w:val="both"/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  <w:br/>
      </w:r>
    </w:p>
    <w:p w14:paraId="7B5DCB90" w14:textId="77777777" w:rsidR="00E97E85" w:rsidRPr="00E97E85" w:rsidRDefault="00E97E85" w:rsidP="00E97E85">
      <w:pPr>
        <w:spacing w:after="0" w:line="276" w:lineRule="auto"/>
        <w:jc w:val="right"/>
        <w:rPr>
          <w:rFonts w:ascii="Arial" w:eastAsia="SimSun" w:hAnsi="Arial" w:cs="Arial"/>
          <w:bCs/>
          <w:kern w:val="0"/>
          <w:lang w:eastAsia="zh-CN"/>
          <w14:ligatures w14:val="none"/>
        </w:rPr>
      </w:pPr>
      <w:r w:rsidRPr="00B10255">
        <w:rPr>
          <w:rFonts w:ascii="Arial" w:eastAsia="SimSun" w:hAnsi="Arial" w:cs="Arial"/>
          <w:b/>
          <w:color w:val="FF0000"/>
          <w:kern w:val="0"/>
          <w:lang w:eastAsia="zh-CN"/>
          <w14:ligatures w14:val="none"/>
        </w:rPr>
        <w:tab/>
      </w:r>
      <w:r w:rsidRPr="00B10255">
        <w:rPr>
          <w:rFonts w:ascii="Arial" w:eastAsia="SimSun" w:hAnsi="Arial" w:cs="Arial"/>
          <w:bCs/>
          <w:kern w:val="0"/>
          <w:lang w:eastAsia="zh-CN"/>
          <w14:ligatures w14:val="none"/>
        </w:rPr>
        <w:t>Magdalena Lupi Alvir, ravnateljica</w:t>
      </w:r>
    </w:p>
    <w:p w14:paraId="73B2ABFB" w14:textId="7CFAB8BA" w:rsidR="005B210D" w:rsidRPr="00FA3ED8" w:rsidRDefault="005B210D" w:rsidP="005B210D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sectPr w:rsidR="005B210D" w:rsidRPr="00FA3ED8" w:rsidSect="00E97E8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6165" w14:textId="77777777" w:rsidR="008007B9" w:rsidRDefault="008007B9">
      <w:pPr>
        <w:spacing w:after="0" w:line="240" w:lineRule="auto"/>
      </w:pPr>
      <w:r>
        <w:separator/>
      </w:r>
    </w:p>
  </w:endnote>
  <w:endnote w:type="continuationSeparator" w:id="0">
    <w:p w14:paraId="48317926" w14:textId="77777777" w:rsidR="008007B9" w:rsidRDefault="0080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422270"/>
      <w:docPartObj>
        <w:docPartGallery w:val="Page Numbers (Bottom of Page)"/>
        <w:docPartUnique/>
      </w:docPartObj>
    </w:sdtPr>
    <w:sdtContent>
      <w:p w14:paraId="55CDFCF2" w14:textId="77777777" w:rsidR="0067713C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A6DB00C" w14:textId="77777777" w:rsidR="0067713C" w:rsidRDefault="0067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3C42" w14:textId="77777777" w:rsidR="008007B9" w:rsidRDefault="008007B9">
      <w:pPr>
        <w:spacing w:after="0" w:line="240" w:lineRule="auto"/>
      </w:pPr>
      <w:r>
        <w:separator/>
      </w:r>
    </w:p>
  </w:footnote>
  <w:footnote w:type="continuationSeparator" w:id="0">
    <w:p w14:paraId="395EA990" w14:textId="77777777" w:rsidR="008007B9" w:rsidRDefault="0080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C8AA" w14:textId="77777777" w:rsidR="0067713C" w:rsidRDefault="0067713C">
    <w:pPr>
      <w:pStyle w:val="Header"/>
    </w:pPr>
  </w:p>
  <w:p w14:paraId="7987149F" w14:textId="77777777" w:rsidR="0067713C" w:rsidRDefault="0067713C">
    <w:pPr>
      <w:pStyle w:val="Header"/>
    </w:pPr>
  </w:p>
  <w:p w14:paraId="4E2F0322" w14:textId="77777777" w:rsidR="0067713C" w:rsidRDefault="0067713C">
    <w:pPr>
      <w:pStyle w:val="Header"/>
    </w:pPr>
  </w:p>
  <w:p w14:paraId="7C98146D" w14:textId="77777777" w:rsidR="0067713C" w:rsidRDefault="00677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A567" w14:textId="77777777" w:rsidR="0067713C" w:rsidRPr="00717A19" w:rsidRDefault="0067713C" w:rsidP="0040418F">
    <w:pPr>
      <w:tabs>
        <w:tab w:val="center" w:pos="4536"/>
        <w:tab w:val="right" w:pos="9072"/>
      </w:tabs>
      <w:spacing w:after="0" w:line="240" w:lineRule="auto"/>
    </w:pPr>
  </w:p>
  <w:tbl>
    <w:tblPr>
      <w:tblW w:w="10420" w:type="dxa"/>
      <w:tblLayout w:type="fixed"/>
      <w:tblLook w:val="0000" w:firstRow="0" w:lastRow="0" w:firstColumn="0" w:lastColumn="0" w:noHBand="0" w:noVBand="0"/>
    </w:tblPr>
    <w:tblGrid>
      <w:gridCol w:w="2078"/>
      <w:gridCol w:w="8342"/>
    </w:tblGrid>
    <w:tr w:rsidR="0040418F" w:rsidRPr="00717A19" w14:paraId="1F8EE38C" w14:textId="77777777" w:rsidTr="009F7306">
      <w:trPr>
        <w:trHeight w:val="1852"/>
      </w:trPr>
      <w:tc>
        <w:tcPr>
          <w:tcW w:w="2078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3" w:name="_Hlk121303613"/>
        <w:p w14:paraId="708F3742" w14:textId="77777777" w:rsidR="0067713C" w:rsidRPr="00717A19" w:rsidRDefault="00000000" w:rsidP="004041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hr-HR"/>
            </w:rPr>
          </w:pPr>
          <w:r w:rsidRPr="00717A19">
            <w:rPr>
              <w:rFonts w:ascii="Times New Roman" w:eastAsia="Times New Roman" w:hAnsi="Times New Roman"/>
              <w:lang w:eastAsia="hr-HR"/>
            </w:rPr>
            <w:object w:dxaOrig="1012" w:dyaOrig="952" w14:anchorId="675C11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86.25pt">
                <v:imagedata r:id="rId1" o:title=""/>
              </v:shape>
              <o:OLEObject Type="Embed" ProgID="PBrush" ShapeID="_x0000_i1025" DrawAspect="Content" ObjectID="_1814870012" r:id="rId2"/>
            </w:object>
          </w:r>
          <w:bookmarkEnd w:id="3"/>
        </w:p>
      </w:tc>
      <w:tc>
        <w:tcPr>
          <w:tcW w:w="83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47CCD2" w14:textId="77777777" w:rsidR="0067713C" w:rsidRPr="00717A19" w:rsidRDefault="0067713C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</w:p>
        <w:p w14:paraId="7A897937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bookmarkStart w:id="4" w:name="_Hlk121303638"/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>GRADSKO KAZALIŠTE LUTAKA RIJEKA</w:t>
          </w:r>
        </w:p>
        <w:p w14:paraId="06FC2686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>Blaža Polića 6, 51000 Rijeka</w:t>
          </w:r>
        </w:p>
        <w:p w14:paraId="125E99C1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>MB 03321185</w:t>
          </w:r>
        </w:p>
        <w:p w14:paraId="523D47FF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>centrala: +385(051) 325 680</w:t>
          </w:r>
        </w:p>
        <w:p w14:paraId="13FFD509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 xml:space="preserve">e-mail: gradsko-kazaliste-lutaka@ri.t-com.hr </w:t>
          </w:r>
        </w:p>
        <w:p w14:paraId="589C741D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  <w:t>OIB: 56734962764</w:t>
          </w:r>
        </w:p>
        <w:p w14:paraId="051F5F12" w14:textId="77777777" w:rsidR="0067713C" w:rsidRPr="00717A19" w:rsidRDefault="00000000" w:rsidP="0040418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A5A5A5"/>
              <w:sz w:val="18"/>
              <w:szCs w:val="18"/>
              <w:lang w:eastAsia="hr-HR"/>
            </w:rPr>
          </w:pPr>
          <w:r w:rsidRPr="00717A19">
            <w:rPr>
              <w:rFonts w:eastAsia="Times New Roman" w:cs="Calibri"/>
              <w:color w:val="A5A5A5"/>
              <w:lang w:eastAsia="hr-HR"/>
            </w:rPr>
            <w:t>HR3324020061837300005</w:t>
          </w:r>
          <w:bookmarkEnd w:id="4"/>
        </w:p>
      </w:tc>
    </w:tr>
  </w:tbl>
  <w:p w14:paraId="47BC3991" w14:textId="77777777" w:rsidR="0067713C" w:rsidRDefault="0067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3D2"/>
    <w:multiLevelType w:val="multilevel"/>
    <w:tmpl w:val="06E01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2C41868"/>
    <w:multiLevelType w:val="hybridMultilevel"/>
    <w:tmpl w:val="F6E41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0C80"/>
    <w:multiLevelType w:val="hybridMultilevel"/>
    <w:tmpl w:val="BCEAD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0740"/>
    <w:multiLevelType w:val="hybridMultilevel"/>
    <w:tmpl w:val="5B1CB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7C9"/>
    <w:multiLevelType w:val="multilevel"/>
    <w:tmpl w:val="2E8AC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0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EC0D7E"/>
    <w:multiLevelType w:val="hybridMultilevel"/>
    <w:tmpl w:val="EEC213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E6BD7"/>
    <w:multiLevelType w:val="hybridMultilevel"/>
    <w:tmpl w:val="312260A0"/>
    <w:lvl w:ilvl="0" w:tplc="27A65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7439"/>
    <w:multiLevelType w:val="multilevel"/>
    <w:tmpl w:val="F21C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3108F"/>
    <w:multiLevelType w:val="multilevel"/>
    <w:tmpl w:val="92206E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979C0"/>
    <w:multiLevelType w:val="hybridMultilevel"/>
    <w:tmpl w:val="5CD6FFB6"/>
    <w:lvl w:ilvl="0" w:tplc="F6A011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22000"/>
    <w:multiLevelType w:val="hybridMultilevel"/>
    <w:tmpl w:val="E81047F2"/>
    <w:lvl w:ilvl="0" w:tplc="FFFFFFFF">
      <w:numFmt w:val="decimal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SimSu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92361"/>
    <w:multiLevelType w:val="hybridMultilevel"/>
    <w:tmpl w:val="E81047F2"/>
    <w:lvl w:ilvl="0" w:tplc="BE266700">
      <w:numFmt w:val="decimal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C3D2D"/>
    <w:multiLevelType w:val="multilevel"/>
    <w:tmpl w:val="61AC88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E385EFC"/>
    <w:multiLevelType w:val="hybridMultilevel"/>
    <w:tmpl w:val="3A123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80DDE"/>
    <w:multiLevelType w:val="hybridMultilevel"/>
    <w:tmpl w:val="720239CA"/>
    <w:lvl w:ilvl="0" w:tplc="98E65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16629"/>
    <w:multiLevelType w:val="multilevel"/>
    <w:tmpl w:val="7504AF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num w:numId="1" w16cid:durableId="649944262">
    <w:abstractNumId w:val="2"/>
  </w:num>
  <w:num w:numId="2" w16cid:durableId="368575991">
    <w:abstractNumId w:val="1"/>
  </w:num>
  <w:num w:numId="3" w16cid:durableId="546647581">
    <w:abstractNumId w:val="0"/>
  </w:num>
  <w:num w:numId="4" w16cid:durableId="143598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276507">
    <w:abstractNumId w:val="7"/>
  </w:num>
  <w:num w:numId="6" w16cid:durableId="1718704805">
    <w:abstractNumId w:val="5"/>
  </w:num>
  <w:num w:numId="7" w16cid:durableId="1328636243">
    <w:abstractNumId w:val="11"/>
  </w:num>
  <w:num w:numId="8" w16cid:durableId="17395923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7357891">
    <w:abstractNumId w:val="3"/>
  </w:num>
  <w:num w:numId="10" w16cid:durableId="1790582413">
    <w:abstractNumId w:val="13"/>
  </w:num>
  <w:num w:numId="11" w16cid:durableId="1558272874">
    <w:abstractNumId w:val="9"/>
  </w:num>
  <w:num w:numId="12" w16cid:durableId="1185558027">
    <w:abstractNumId w:val="10"/>
  </w:num>
  <w:num w:numId="13" w16cid:durableId="648217402">
    <w:abstractNumId w:val="12"/>
  </w:num>
  <w:num w:numId="14" w16cid:durableId="1408840820">
    <w:abstractNumId w:val="8"/>
  </w:num>
  <w:num w:numId="15" w16cid:durableId="1211264056">
    <w:abstractNumId w:val="15"/>
  </w:num>
  <w:num w:numId="16" w16cid:durableId="32846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457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597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9567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3502618">
    <w:abstractNumId w:val="14"/>
  </w:num>
  <w:num w:numId="21" w16cid:durableId="676663100">
    <w:abstractNumId w:val="6"/>
  </w:num>
  <w:num w:numId="22" w16cid:durableId="44728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C3"/>
    <w:rsid w:val="000077E8"/>
    <w:rsid w:val="00027C2B"/>
    <w:rsid w:val="000521C7"/>
    <w:rsid w:val="00055DC9"/>
    <w:rsid w:val="00061692"/>
    <w:rsid w:val="000C0F10"/>
    <w:rsid w:val="000D0920"/>
    <w:rsid w:val="000E5C30"/>
    <w:rsid w:val="00101A29"/>
    <w:rsid w:val="00123D37"/>
    <w:rsid w:val="00136B52"/>
    <w:rsid w:val="00140A57"/>
    <w:rsid w:val="00155F39"/>
    <w:rsid w:val="0016256A"/>
    <w:rsid w:val="00171230"/>
    <w:rsid w:val="00190F03"/>
    <w:rsid w:val="00195706"/>
    <w:rsid w:val="001B113E"/>
    <w:rsid w:val="001D7502"/>
    <w:rsid w:val="002258B5"/>
    <w:rsid w:val="0028158D"/>
    <w:rsid w:val="00283668"/>
    <w:rsid w:val="0028649B"/>
    <w:rsid w:val="002A7AA7"/>
    <w:rsid w:val="002B5F36"/>
    <w:rsid w:val="002D0264"/>
    <w:rsid w:val="002D5B96"/>
    <w:rsid w:val="002E4648"/>
    <w:rsid w:val="002E7C0D"/>
    <w:rsid w:val="003025BD"/>
    <w:rsid w:val="00385699"/>
    <w:rsid w:val="003C1254"/>
    <w:rsid w:val="003E39B9"/>
    <w:rsid w:val="00401DAD"/>
    <w:rsid w:val="0044742F"/>
    <w:rsid w:val="00451613"/>
    <w:rsid w:val="0047213F"/>
    <w:rsid w:val="0047451A"/>
    <w:rsid w:val="00481548"/>
    <w:rsid w:val="004A5FC2"/>
    <w:rsid w:val="004B1229"/>
    <w:rsid w:val="004B2226"/>
    <w:rsid w:val="004D05CD"/>
    <w:rsid w:val="004E0CC6"/>
    <w:rsid w:val="004F7256"/>
    <w:rsid w:val="00502612"/>
    <w:rsid w:val="0056546B"/>
    <w:rsid w:val="005703D0"/>
    <w:rsid w:val="005823DC"/>
    <w:rsid w:val="005835C4"/>
    <w:rsid w:val="005B210D"/>
    <w:rsid w:val="005C35AB"/>
    <w:rsid w:val="005C47FA"/>
    <w:rsid w:val="005D07B1"/>
    <w:rsid w:val="005D13EE"/>
    <w:rsid w:val="005D2CD7"/>
    <w:rsid w:val="00613FAA"/>
    <w:rsid w:val="00614991"/>
    <w:rsid w:val="0067713C"/>
    <w:rsid w:val="006867B3"/>
    <w:rsid w:val="00694584"/>
    <w:rsid w:val="006B71C7"/>
    <w:rsid w:val="006B72BB"/>
    <w:rsid w:val="006C6C56"/>
    <w:rsid w:val="006D6D0E"/>
    <w:rsid w:val="006D7059"/>
    <w:rsid w:val="006E1B6D"/>
    <w:rsid w:val="006F61D9"/>
    <w:rsid w:val="006F7692"/>
    <w:rsid w:val="00700BDB"/>
    <w:rsid w:val="007049D6"/>
    <w:rsid w:val="00722D30"/>
    <w:rsid w:val="007612D2"/>
    <w:rsid w:val="00794A73"/>
    <w:rsid w:val="00795F00"/>
    <w:rsid w:val="007C7408"/>
    <w:rsid w:val="007F3DFA"/>
    <w:rsid w:val="008007B9"/>
    <w:rsid w:val="00801FEA"/>
    <w:rsid w:val="00803D15"/>
    <w:rsid w:val="00805945"/>
    <w:rsid w:val="00813C7D"/>
    <w:rsid w:val="00820B72"/>
    <w:rsid w:val="008377AA"/>
    <w:rsid w:val="00854373"/>
    <w:rsid w:val="008869F0"/>
    <w:rsid w:val="008A62BA"/>
    <w:rsid w:val="008C7C97"/>
    <w:rsid w:val="00905080"/>
    <w:rsid w:val="00905E20"/>
    <w:rsid w:val="0091650D"/>
    <w:rsid w:val="00934184"/>
    <w:rsid w:val="00965B3D"/>
    <w:rsid w:val="00970C62"/>
    <w:rsid w:val="00991D0E"/>
    <w:rsid w:val="009A5105"/>
    <w:rsid w:val="009B2EFC"/>
    <w:rsid w:val="009D16E0"/>
    <w:rsid w:val="009E123A"/>
    <w:rsid w:val="00A2667F"/>
    <w:rsid w:val="00A26780"/>
    <w:rsid w:val="00A33441"/>
    <w:rsid w:val="00A4235D"/>
    <w:rsid w:val="00A45F54"/>
    <w:rsid w:val="00A81B32"/>
    <w:rsid w:val="00A93F06"/>
    <w:rsid w:val="00A96948"/>
    <w:rsid w:val="00AC5A14"/>
    <w:rsid w:val="00AC7C8C"/>
    <w:rsid w:val="00AD3455"/>
    <w:rsid w:val="00AF0DC3"/>
    <w:rsid w:val="00AF776A"/>
    <w:rsid w:val="00B10255"/>
    <w:rsid w:val="00B23C03"/>
    <w:rsid w:val="00B242EA"/>
    <w:rsid w:val="00B433A9"/>
    <w:rsid w:val="00B532A6"/>
    <w:rsid w:val="00B618D2"/>
    <w:rsid w:val="00B70C72"/>
    <w:rsid w:val="00B73044"/>
    <w:rsid w:val="00B94B7C"/>
    <w:rsid w:val="00BA7CD8"/>
    <w:rsid w:val="00BE2DDF"/>
    <w:rsid w:val="00C04E2A"/>
    <w:rsid w:val="00C273F7"/>
    <w:rsid w:val="00C67434"/>
    <w:rsid w:val="00C81D96"/>
    <w:rsid w:val="00C82F4E"/>
    <w:rsid w:val="00C83344"/>
    <w:rsid w:val="00C848F3"/>
    <w:rsid w:val="00C9298F"/>
    <w:rsid w:val="00CB0AD2"/>
    <w:rsid w:val="00CB78BC"/>
    <w:rsid w:val="00CC38C7"/>
    <w:rsid w:val="00CF2BFF"/>
    <w:rsid w:val="00CF3949"/>
    <w:rsid w:val="00CF65C0"/>
    <w:rsid w:val="00D271C8"/>
    <w:rsid w:val="00D37C1D"/>
    <w:rsid w:val="00D66B88"/>
    <w:rsid w:val="00D72AF6"/>
    <w:rsid w:val="00D97958"/>
    <w:rsid w:val="00DB356C"/>
    <w:rsid w:val="00DB561B"/>
    <w:rsid w:val="00DC3986"/>
    <w:rsid w:val="00DE08D5"/>
    <w:rsid w:val="00DE20D7"/>
    <w:rsid w:val="00E122F2"/>
    <w:rsid w:val="00E24FAB"/>
    <w:rsid w:val="00E377BA"/>
    <w:rsid w:val="00E97E85"/>
    <w:rsid w:val="00E97EEE"/>
    <w:rsid w:val="00EA2083"/>
    <w:rsid w:val="00EA31C2"/>
    <w:rsid w:val="00ED6BCE"/>
    <w:rsid w:val="00EF18CF"/>
    <w:rsid w:val="00F40EFB"/>
    <w:rsid w:val="00F55D6E"/>
    <w:rsid w:val="00F56BA0"/>
    <w:rsid w:val="00F64965"/>
    <w:rsid w:val="00F94FEC"/>
    <w:rsid w:val="00F95682"/>
    <w:rsid w:val="00FA3ED8"/>
    <w:rsid w:val="00FC5777"/>
    <w:rsid w:val="00FC5B54"/>
    <w:rsid w:val="00F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769A8"/>
  <w15:chartTrackingRefBased/>
  <w15:docId w15:val="{20D3AE91-7D36-4C12-B5E0-4B70630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8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D16E0"/>
  </w:style>
  <w:style w:type="character" w:styleId="Hyperlink">
    <w:name w:val="Hyperlink"/>
    <w:basedOn w:val="DefaultParagraphFont"/>
    <w:uiPriority w:val="99"/>
    <w:semiHidden/>
    <w:unhideWhenUsed/>
    <w:rsid w:val="009D16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6E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16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D16E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16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D16E0"/>
    <w:rPr>
      <w:rFonts w:ascii="Calibri" w:eastAsia="Calibri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E0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E0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rsid w:val="009D16E0"/>
    <w:rPr>
      <w:color w:val="954F72"/>
      <w:u w:val="single"/>
    </w:rPr>
  </w:style>
  <w:style w:type="character" w:styleId="Strong">
    <w:name w:val="Strong"/>
    <w:uiPriority w:val="22"/>
    <w:qFormat/>
    <w:rsid w:val="009D1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3499</Words>
  <Characters>19948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Rijeka</dc:creator>
  <cp:keywords/>
  <dc:description/>
  <cp:lastModifiedBy>Grbčić Laura</cp:lastModifiedBy>
  <cp:revision>106</cp:revision>
  <dcterms:created xsi:type="dcterms:W3CDTF">2025-07-17T11:54:00Z</dcterms:created>
  <dcterms:modified xsi:type="dcterms:W3CDTF">2025-07-24T11:47:00Z</dcterms:modified>
</cp:coreProperties>
</file>