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AD1E3" w14:textId="5AB11C58" w:rsidR="007D486A" w:rsidRPr="004D3CF0" w:rsidRDefault="007D486A" w:rsidP="007D486A">
      <w:pPr>
        <w:spacing w:after="0" w:line="360" w:lineRule="auto"/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</w:pPr>
      <w:r w:rsidRPr="004D3CF0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 xml:space="preserve">Klasa: </w:t>
      </w:r>
      <w:r w:rsidR="00F56167" w:rsidRPr="004D3CF0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400-02/26-01/0</w:t>
      </w:r>
      <w:r w:rsidR="00C719F7" w:rsidRPr="004D3CF0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6</w:t>
      </w:r>
    </w:p>
    <w:p w14:paraId="24E2DD97" w14:textId="6591D385" w:rsidR="007D486A" w:rsidRPr="004D3CF0" w:rsidRDefault="007D486A" w:rsidP="007D486A">
      <w:pPr>
        <w:spacing w:after="0" w:line="360" w:lineRule="auto"/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</w:pPr>
      <w:r w:rsidRPr="004D3CF0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 xml:space="preserve">Ur.Br.: </w:t>
      </w:r>
      <w:r w:rsidR="00F56167" w:rsidRPr="004D3CF0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2170-1-30-26-01</w:t>
      </w:r>
    </w:p>
    <w:p w14:paraId="2E5BA174" w14:textId="4C5E35C9" w:rsidR="007D486A" w:rsidRPr="0080402A" w:rsidRDefault="007D486A" w:rsidP="007D486A">
      <w:pPr>
        <w:spacing w:after="0" w:line="360" w:lineRule="auto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80402A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Rijeka, 2</w:t>
      </w:r>
      <w:r w:rsidR="007336B9" w:rsidRPr="0080402A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4</w:t>
      </w:r>
      <w:r w:rsidRPr="0080402A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.07.202</w:t>
      </w:r>
      <w:r w:rsidR="006C18E6" w:rsidRPr="0080402A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6</w:t>
      </w:r>
      <w:r w:rsidRPr="0080402A"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  <w:t>.</w:t>
      </w:r>
    </w:p>
    <w:p w14:paraId="0C4DB071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  <w:t xml:space="preserve"> </w:t>
      </w:r>
    </w:p>
    <w:p w14:paraId="1B76959A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2F55F16A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5FCE8716" w14:textId="77777777" w:rsidR="00F56167" w:rsidRPr="004D3CF0" w:rsidRDefault="00F56167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431B98E0" w14:textId="77777777" w:rsidR="00F56167" w:rsidRPr="004D3CF0" w:rsidRDefault="00F56167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58097764" w14:textId="77777777" w:rsidR="00F56167" w:rsidRPr="004D3CF0" w:rsidRDefault="00F56167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0F1B3964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2275688D" w14:textId="4026EAE4" w:rsidR="007D486A" w:rsidRPr="004D3CF0" w:rsidRDefault="007D486A" w:rsidP="007D486A">
      <w:pPr>
        <w:spacing w:after="0" w:line="360" w:lineRule="auto"/>
        <w:ind w:left="360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  <w:bookmarkStart w:id="0" w:name="_Hlk172193324"/>
      <w:r w:rsidRPr="004D3CF0"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  <w:t>PRIJEDLOG POLUGODIŠNJEG IZVJEŠTAJA O  IZVRŠENJU FINANCIJSKOG PLANA GRADSKOG KAZALIŠTA LUTAKA RIJEKA ZA 202</w:t>
      </w:r>
      <w:r w:rsidR="006C18E6" w:rsidRPr="004D3CF0"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  <w:t>. GODINU</w:t>
      </w:r>
    </w:p>
    <w:bookmarkEnd w:id="0"/>
    <w:p w14:paraId="0D38BE0B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eastAsia="zh-CN"/>
          <w14:ligatures w14:val="none"/>
        </w:rPr>
      </w:pPr>
    </w:p>
    <w:p w14:paraId="19E48D54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color w:val="FF0000"/>
          <w:kern w:val="0"/>
          <w:sz w:val="28"/>
          <w:szCs w:val="28"/>
          <w:lang w:eastAsia="zh-CN"/>
          <w14:ligatures w14:val="none"/>
        </w:rPr>
      </w:pPr>
    </w:p>
    <w:p w14:paraId="700EA109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b/>
          <w:color w:val="FF0000"/>
          <w:kern w:val="0"/>
          <w:sz w:val="28"/>
          <w:szCs w:val="28"/>
          <w:lang w:eastAsia="zh-CN"/>
          <w14:ligatures w14:val="none"/>
        </w:rPr>
      </w:pPr>
    </w:p>
    <w:p w14:paraId="7C44C815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color w:val="FF0000"/>
          <w:kern w:val="0"/>
          <w:lang w:eastAsia="zh-CN"/>
          <w14:ligatures w14:val="none"/>
        </w:rPr>
      </w:pPr>
    </w:p>
    <w:p w14:paraId="66B2BBD0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color w:val="FF0000"/>
          <w:kern w:val="0"/>
          <w:lang w:eastAsia="zh-CN"/>
          <w14:ligatures w14:val="none"/>
        </w:rPr>
      </w:pPr>
    </w:p>
    <w:p w14:paraId="71DC16DE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color w:val="FF0000"/>
          <w:kern w:val="0"/>
          <w:lang w:eastAsia="zh-CN"/>
          <w14:ligatures w14:val="none"/>
        </w:rPr>
      </w:pPr>
    </w:p>
    <w:p w14:paraId="2366299A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color w:val="FF0000"/>
          <w:kern w:val="0"/>
          <w:lang w:eastAsia="zh-CN"/>
          <w14:ligatures w14:val="none"/>
        </w:rPr>
      </w:pPr>
    </w:p>
    <w:p w14:paraId="2156C29A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color w:val="FF0000"/>
          <w:kern w:val="0"/>
          <w:lang w:eastAsia="zh-CN"/>
          <w14:ligatures w14:val="none"/>
        </w:rPr>
      </w:pPr>
    </w:p>
    <w:p w14:paraId="187456A1" w14:textId="77777777" w:rsidR="007D486A" w:rsidRPr="004D3CF0" w:rsidRDefault="007D486A" w:rsidP="007D486A">
      <w:pPr>
        <w:spacing w:after="0" w:line="360" w:lineRule="auto"/>
        <w:jc w:val="center"/>
        <w:rPr>
          <w:rFonts w:ascii="Arial" w:eastAsia="SimSun" w:hAnsi="Arial" w:cs="Arial"/>
          <w:color w:val="FF0000"/>
          <w:kern w:val="0"/>
          <w:sz w:val="28"/>
          <w:szCs w:val="28"/>
          <w:lang w:eastAsia="zh-CN"/>
          <w14:ligatures w14:val="none"/>
        </w:rPr>
      </w:pPr>
    </w:p>
    <w:p w14:paraId="422C194F" w14:textId="77777777" w:rsidR="007D486A" w:rsidRPr="004D3CF0" w:rsidRDefault="007D486A" w:rsidP="007D486A">
      <w:pPr>
        <w:spacing w:after="0" w:line="360" w:lineRule="auto"/>
        <w:jc w:val="right"/>
        <w:rPr>
          <w:rFonts w:ascii="Arial" w:eastAsia="SimSun" w:hAnsi="Arial" w:cs="Arial"/>
          <w:color w:val="FF0000"/>
          <w:kern w:val="0"/>
          <w:sz w:val="28"/>
          <w:szCs w:val="28"/>
          <w:lang w:eastAsia="zh-CN"/>
          <w14:ligatures w14:val="none"/>
        </w:rPr>
      </w:pPr>
    </w:p>
    <w:p w14:paraId="30D3B5BB" w14:textId="77777777" w:rsidR="007D486A" w:rsidRPr="004D3CF0" w:rsidRDefault="007D486A" w:rsidP="007D486A">
      <w:pPr>
        <w:spacing w:after="0" w:line="360" w:lineRule="auto"/>
        <w:jc w:val="right"/>
        <w:rPr>
          <w:rFonts w:ascii="Arial" w:eastAsia="SimSun" w:hAnsi="Arial" w:cs="Arial"/>
          <w:color w:val="000000"/>
          <w:kern w:val="0"/>
          <w:sz w:val="28"/>
          <w:szCs w:val="28"/>
          <w:lang w:eastAsia="zh-CN"/>
          <w14:ligatures w14:val="none"/>
        </w:rPr>
      </w:pPr>
      <w:r w:rsidRPr="004D3CF0">
        <w:rPr>
          <w:rFonts w:ascii="Arial" w:eastAsia="SimSun" w:hAnsi="Arial" w:cs="Arial"/>
          <w:color w:val="FF0000"/>
          <w:kern w:val="0"/>
          <w:sz w:val="28"/>
          <w:szCs w:val="28"/>
          <w:lang w:eastAsia="zh-CN"/>
          <w14:ligatures w14:val="none"/>
        </w:rPr>
        <w:t xml:space="preserve">    </w:t>
      </w:r>
      <w:r w:rsidRPr="004D3CF0">
        <w:rPr>
          <w:rFonts w:ascii="Arial" w:eastAsia="SimSun" w:hAnsi="Arial" w:cs="Arial"/>
          <w:color w:val="000000"/>
          <w:kern w:val="0"/>
          <w:sz w:val="28"/>
          <w:szCs w:val="28"/>
          <w:lang w:eastAsia="zh-CN"/>
          <w14:ligatures w14:val="none"/>
        </w:rPr>
        <w:t>Ravnateljica</w:t>
      </w:r>
    </w:p>
    <w:p w14:paraId="34DE414C" w14:textId="3578B981" w:rsidR="007D486A" w:rsidRPr="004D3CF0" w:rsidRDefault="007D486A" w:rsidP="007D486A">
      <w:pPr>
        <w:spacing w:after="0" w:line="360" w:lineRule="auto"/>
        <w:jc w:val="right"/>
        <w:rPr>
          <w:rFonts w:ascii="Arial" w:eastAsia="SimSun" w:hAnsi="Arial" w:cs="Arial"/>
          <w:kern w:val="0"/>
          <w:sz w:val="28"/>
          <w:szCs w:val="28"/>
          <w:lang w:eastAsia="zh-CN"/>
          <w14:ligatures w14:val="none"/>
        </w:rPr>
      </w:pPr>
      <w:r w:rsidRPr="004D3CF0">
        <w:rPr>
          <w:rFonts w:ascii="Arial" w:eastAsia="SimSun" w:hAnsi="Arial" w:cs="Arial"/>
          <w:color w:val="000000"/>
          <w:kern w:val="0"/>
          <w:sz w:val="28"/>
          <w:szCs w:val="28"/>
          <w:lang w:eastAsia="zh-CN"/>
          <w14:ligatures w14:val="none"/>
        </w:rPr>
        <w:t>Magdalena Lupi Alvir</w:t>
      </w:r>
    </w:p>
    <w:p w14:paraId="4D7BCC83" w14:textId="77777777" w:rsidR="007D486A" w:rsidRPr="004D3CF0" w:rsidRDefault="007D486A" w:rsidP="007D486A">
      <w:pPr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br w:type="page"/>
      </w:r>
    </w:p>
    <w:p w14:paraId="21619782" w14:textId="73716712" w:rsidR="007D486A" w:rsidRPr="004D3CF0" w:rsidRDefault="00A20033" w:rsidP="007D486A">
      <w:pPr>
        <w:spacing w:after="0" w:line="240" w:lineRule="auto"/>
        <w:jc w:val="center"/>
        <w:rPr>
          <w:rFonts w:ascii="Arial" w:eastAsia="SimSun" w:hAnsi="Arial" w:cs="Arial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lastRenderedPageBreak/>
        <w:t>S</w:t>
      </w:r>
      <w:r w:rsidR="007D486A"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AŽETAK DJELOKRUGA RADA GKL RIJEKA</w:t>
      </w:r>
      <w:r w:rsidR="007D486A" w:rsidRPr="004D3CF0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37FE0881" w14:textId="77777777" w:rsidR="007D486A" w:rsidRPr="004D3CF0" w:rsidRDefault="007D486A" w:rsidP="007D486A">
      <w:pPr>
        <w:jc w:val="both"/>
        <w:rPr>
          <w:rFonts w:ascii="Arial" w:eastAsia="Calibri" w:hAnsi="Arial" w:cs="Arial"/>
          <w:kern w:val="0"/>
          <w14:ligatures w14:val="none"/>
        </w:rPr>
      </w:pPr>
    </w:p>
    <w:p w14:paraId="3EC7C5C3" w14:textId="77777777" w:rsidR="006C18E6" w:rsidRPr="004D3CF0" w:rsidRDefault="006C18E6" w:rsidP="006C18E6">
      <w:pPr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>Kazalište lutaka ustanovljeno je 1960. godine. Danas Gradsko kazalište lutaka Rijeka, čiji je osnivač Grad Rijeka, djeluje na adresi Blaža Polića 6 u Rijeci, broji trenutno 29 zaposlena djelatnika umjetničkog, tehničkog i administrativnog profila (od kojih je jedna osoba na dugotrajnijem bolovanju preko 42 dana sa zamjenom, a jedno radno mjesto je upražnjeno te je natječaj za njega upravo završen i kandidat izabran).</w:t>
      </w:r>
    </w:p>
    <w:p w14:paraId="10FA91ED" w14:textId="77777777" w:rsidR="006C18E6" w:rsidRPr="004D3CF0" w:rsidRDefault="006C18E6" w:rsidP="006C18E6">
      <w:pPr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 xml:space="preserve">U skladu sa Statutom Kazališta, njegova je osnovna djelatnost stvaranje, produciranje i distribucija lutkarskih predstava, no istovremeno i njegovanje drugih scenskih djela, razvoj i širenje scensko-glazbene kulture te međugradska, međužupanijska i međunarodna suradnja, koja uključuje gostovanja iz republike i inozemstva, kao i gostovanja u republici i inozemstvu. </w:t>
      </w:r>
    </w:p>
    <w:p w14:paraId="77BCDA88" w14:textId="77777777" w:rsidR="006C18E6" w:rsidRPr="004D3CF0" w:rsidRDefault="006C18E6" w:rsidP="006C18E6">
      <w:pPr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 xml:space="preserve">Kazalište godišnje izvodi preko 300 programa koje pogleda preko 30 000 gledatelja, te je čak i u vrijeme skoro tri pandemijske godine uspijevalo održati svoje programe i prilagoditi ih novonastaloj situaciji. U zadnje dvije kalendarske godine Kazalište kroz godinu postavlja u prosjeku 3 premijerna naslova u vlastitoj produkciji, izvodi oko 15 repriznih naslova, te ostvaruje sav planirani program. Kazalište je organizirano na način da se potrebne radnje u stvaranju jedne predstave obavljaju vlastitim snagama, od ideje do premijere,  te uz angažman i vanjskih suradnika, npr. redatelja, skladatelja, koreografa, likovnih umjetnika. U taj proces uključeni su svi djelatnici, kao i u organizaciju, produkciju i post-produkciju predstava, međunarodni festival Reviju lutkarskih kazališta, programe u Dječjoj kući uključujući Festival Tobogan, kao i svih pratećih sadržaja i programa tijekom sezone tj. kalendarske godine. </w:t>
      </w:r>
    </w:p>
    <w:p w14:paraId="23187E68" w14:textId="77777777" w:rsidR="006C18E6" w:rsidRPr="004D3CF0" w:rsidRDefault="006C18E6" w:rsidP="006C18E6">
      <w:pPr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 xml:space="preserve">Obaveze Gradskog kazališta lutaka Rijeka sadržavaju premijere, reprize, organizaciju Revije lutkarskih kazališta, gostovanja po Primorsko-goranskoj županiji i Republici Hrvatskoj, sudjelovanje na domaćim festivalima, plasiranje na inozemnim festivalima, osmišljavanje, pisanje i priprema za sva potrebna kazališna izdanja, suradnja sa školama i vrtićima, djelovanje u krovnim organizacijama UNIMA-e i ASSITEJ-a, koprodukcije… GKL je i član svjetske mreže kazališta za najmlađe - Small size te regionalne platforme Od malih nogu.              </w:t>
      </w:r>
    </w:p>
    <w:p w14:paraId="7DB61DF1" w14:textId="77777777" w:rsidR="006C18E6" w:rsidRPr="004D3CF0" w:rsidRDefault="006C18E6" w:rsidP="006C18E6">
      <w:pPr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>GKL Rijeka bio je jedan od partnera u programskom pravcu Dječja kuća EPK Rijeka2020 te u nasljeđu EPK programa sudjeluje kroz raznolike programe u prostoru Dječje kuće, kao i u upravljačkom dijelu, te u programima Festivala Tobogan, odnosno Ljeta u Benčiću.</w:t>
      </w:r>
    </w:p>
    <w:p w14:paraId="4EA78F4D" w14:textId="77777777" w:rsidR="006C18E6" w:rsidRPr="004D3CF0" w:rsidRDefault="006C18E6" w:rsidP="006C18E6">
      <w:pPr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>Cilj programa GKL Rijeka je zadovoljenje kulturnih potreba stanovnika grada Rijeke, prije svega njegovih najmlađih stanovnika, uz povećanje standarda usluge u kazališnoj djelatnosti.</w:t>
      </w:r>
    </w:p>
    <w:p w14:paraId="22C461DD" w14:textId="0D31546B" w:rsidR="007D486A" w:rsidRPr="004D3CF0" w:rsidRDefault="006C18E6" w:rsidP="006C18E6">
      <w:pPr>
        <w:ind w:firstLine="708"/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 xml:space="preserve"> </w:t>
      </w:r>
      <w:r w:rsidR="007D486A" w:rsidRPr="004D3CF0">
        <w:rPr>
          <w:rFonts w:ascii="Arial" w:eastAsia="Calibri" w:hAnsi="Arial" w:cs="Arial"/>
          <w:kern w:val="0"/>
          <w14:ligatures w14:val="none"/>
        </w:rPr>
        <w:t> </w:t>
      </w:r>
    </w:p>
    <w:p w14:paraId="62EB29F5" w14:textId="77777777" w:rsidR="007D486A" w:rsidRPr="004D3CF0" w:rsidRDefault="007D486A" w:rsidP="007D486A">
      <w:pPr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br w:type="page"/>
      </w:r>
    </w:p>
    <w:p w14:paraId="382C4E5E" w14:textId="77777777" w:rsidR="00442D50" w:rsidRPr="004D3CF0" w:rsidRDefault="00442D50" w:rsidP="00442D50">
      <w:pPr>
        <w:jc w:val="both"/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</w:pPr>
    </w:p>
    <w:p w14:paraId="16C749D0" w14:textId="2E582525" w:rsidR="00442D50" w:rsidRPr="004D3CF0" w:rsidRDefault="00442D50" w:rsidP="00442D50">
      <w:pPr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Obrazloženje polugodišnjeg izvještaja o izvršenju financijskog plana Gradskog kazališta lutaka Rijeka za 2026. godinu</w:t>
      </w:r>
    </w:p>
    <w:p w14:paraId="51A4C6BB" w14:textId="2AA243BA" w:rsidR="00D374C0" w:rsidRPr="004D3CF0" w:rsidRDefault="007D486A" w:rsidP="00D374C0">
      <w:pPr>
        <w:spacing w:line="240" w:lineRule="auto"/>
        <w:ind w:firstLine="709"/>
        <w:jc w:val="both"/>
        <w:rPr>
          <w:rFonts w:ascii="Arial" w:hAnsi="Arial" w:cs="Arial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Polugodišnji izvještaj o izvršenju financijskog plana sadrži opći dio izvještaja, posebni dio izvještaja, obrazloženje i posebn</w:t>
      </w:r>
      <w:r w:rsidR="00D374C0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i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izvještaj.</w:t>
      </w:r>
      <w:r w:rsidR="00D374C0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="00D374C0" w:rsidRPr="004D3CF0">
        <w:rPr>
          <w:rFonts w:ascii="Arial" w:hAnsi="Arial" w:cs="Arial"/>
        </w:rPr>
        <w:t>U Općem dijelu se daju podaci o ostvarenju prihoda i primitaka, rashoda i izdataka u izvještajnom razdoblju, a može sadržavati i podatke o prenesenom višku, odnosno manjku iz prethodne godine. Opći dio sadrži: sažetak Računa prihoda i rashoda i Računa financiranja, Račun prihoda i rashoda i Račun financiranja. U Računu prihoda i rashoda  se prihodi i rashodi iskazuju prema ekonomskoj klasifikaciji i izvorima financiranja, a rashodi i prema funkcijskoj klasifikaciji.</w:t>
      </w:r>
    </w:p>
    <w:p w14:paraId="3968E00E" w14:textId="77777777" w:rsidR="00D374C0" w:rsidRPr="004D3CF0" w:rsidRDefault="00D374C0" w:rsidP="00D374C0">
      <w:pPr>
        <w:spacing w:line="240" w:lineRule="auto"/>
        <w:ind w:firstLine="709"/>
        <w:jc w:val="both"/>
        <w:rPr>
          <w:rFonts w:ascii="Arial" w:hAnsi="Arial" w:cs="Arial"/>
        </w:rPr>
      </w:pPr>
      <w:r w:rsidRPr="004D3CF0">
        <w:rPr>
          <w:rFonts w:ascii="Arial" w:hAnsi="Arial" w:cs="Arial"/>
        </w:rPr>
        <w:t>Posebni dio polugodišnjeg izvještaja o izvršenju financijskog plana iskazuje se u izvještaju po programskoj klasifikaciji i sadrži prikaz rashoda i izdataka iskazanih po izvorima financiranja i ekonomskoj klasifikaciji, raspoređenih u programe koji se sastoje od aktivnosti i projekata.</w:t>
      </w:r>
    </w:p>
    <w:p w14:paraId="72B59190" w14:textId="0768570D" w:rsidR="007D486A" w:rsidRPr="004D3CF0" w:rsidRDefault="007D486A" w:rsidP="007D486A">
      <w:pPr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Polugodišnji izvještaj  izrađuje se u skladu sa Zakonom o proračunu (Narodne novine broj 144/21) i Pravilnikom o polugodišnjem i godišnjem izvještaju proračuna i financijskog plana (Narodne Novine broj 85/23). Gradsko kazalište lutaka Rijeka u polugodišnjem izvještaju o izvršenju financijskog plana ima sljedeće posebne izvještaje: Izvještaj o zaduživanju na domaćem i stranom tržištu novca i kapitala. Navedeni posebni izvještaj prikazan je na Obrascu 1 i sastavni je dio ovog izvještaja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Gradsko kazalište lutaka Rijeka u razdoblju I-VI nije se zaduživalo.</w:t>
      </w:r>
    </w:p>
    <w:p w14:paraId="5D1D33D7" w14:textId="77777777" w:rsidR="007D486A" w:rsidRPr="004D3CF0" w:rsidRDefault="007D486A" w:rsidP="0095752C">
      <w:pPr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Obrazloženje polugodišnjeg izvještaja o izvršenju financijskog plana sastoji se od obrazloženja općeg dijela izvještaja o izvršenju financijskog plana. Obrazloženje općeg dijela polugodišnjeg izvještaja sadrži obrazloženje ostvarivanja prihoda i rashoda te obrazloženje prenesenog viška. </w:t>
      </w:r>
    </w:p>
    <w:p w14:paraId="445AB292" w14:textId="12B5A163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ab/>
        <w:t xml:space="preserve">U ovom tekstu obrazloženja ostvarivanja prihoda i rashoda ostvarenje se obrazlaže u odnosu na 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Rebalans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202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godine te usporedba s ostvarenjem prihoda i rashoda za isto razdoblje u 202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godini.</w:t>
      </w:r>
    </w:p>
    <w:p w14:paraId="0C80C37E" w14:textId="57368AA0" w:rsidR="007D486A" w:rsidRPr="004D3CF0" w:rsidRDefault="007D486A" w:rsidP="007D486A">
      <w:pPr>
        <w:spacing w:after="0" w:line="240" w:lineRule="auto"/>
        <w:rPr>
          <w:rFonts w:ascii="Arial" w:eastAsia="SimSun" w:hAnsi="Arial" w:cs="Arial"/>
          <w:b/>
          <w:kern w:val="0"/>
          <w:u w:val="single"/>
          <w:lang w:eastAsia="zh-CN"/>
          <w14:ligatures w14:val="none"/>
        </w:rPr>
      </w:pPr>
    </w:p>
    <w:p w14:paraId="3A001FB9" w14:textId="4509AE89" w:rsidR="00442D50" w:rsidRPr="004D3CF0" w:rsidRDefault="00442D50" w:rsidP="007D486A">
      <w:pPr>
        <w:spacing w:after="0" w:line="240" w:lineRule="auto"/>
        <w:rPr>
          <w:rFonts w:ascii="Arial" w:eastAsia="SimSun" w:hAnsi="Arial" w:cs="Arial"/>
          <w:b/>
          <w:kern w:val="0"/>
          <w:u w:val="single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u w:val="single"/>
          <w:lang w:eastAsia="zh-CN"/>
          <w14:ligatures w14:val="none"/>
        </w:rPr>
        <w:t>Opći dio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078"/>
        <w:gridCol w:w="255"/>
        <w:gridCol w:w="255"/>
        <w:gridCol w:w="255"/>
        <w:gridCol w:w="1287"/>
        <w:gridCol w:w="1107"/>
        <w:gridCol w:w="1134"/>
        <w:gridCol w:w="993"/>
        <w:gridCol w:w="992"/>
      </w:tblGrid>
      <w:tr w:rsidR="00C10781" w:rsidRPr="004D3CF0" w14:paraId="27B6F86E" w14:textId="77777777" w:rsidTr="00DF3CAD">
        <w:trPr>
          <w:trHeight w:val="360"/>
        </w:trPr>
        <w:tc>
          <w:tcPr>
            <w:tcW w:w="935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B952E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>SAŽETAK  RAČUNA PRIHODA I RASHODA I  RAČUNA FINANCIRANJA</w:t>
            </w:r>
          </w:p>
        </w:tc>
      </w:tr>
      <w:tr w:rsidR="00C10781" w:rsidRPr="004D3CF0" w14:paraId="39D60999" w14:textId="77777777" w:rsidTr="00DF3CAD">
        <w:trPr>
          <w:trHeight w:val="300"/>
        </w:trPr>
        <w:tc>
          <w:tcPr>
            <w:tcW w:w="38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654B09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SAŽETAK  RAČUNA PRIHODA I RASHODA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FC5F28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D3CF0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DB2E91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D3CF0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962A86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D3CF0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A12D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D3CF0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1E334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</w:tr>
      <w:tr w:rsidR="00C10781" w:rsidRPr="004D3CF0" w14:paraId="06BDB15C" w14:textId="77777777" w:rsidTr="00DF3CAD">
        <w:trPr>
          <w:trHeight w:val="36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3B05E7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4828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IZVRŠENJE </w:t>
            </w: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br/>
              <w:t xml:space="preserve">1.-6.2025.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0D2F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REBALANS 2026*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9812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IZVRŠENJE </w:t>
            </w: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br/>
              <w:t xml:space="preserve">1.-6.2026.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B5C5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INDEKS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0821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INDEKS**</w:t>
            </w:r>
          </w:p>
        </w:tc>
      </w:tr>
      <w:tr w:rsidR="00C10781" w:rsidRPr="004D3CF0" w14:paraId="22F90F56" w14:textId="77777777" w:rsidTr="00DF3CAD">
        <w:trPr>
          <w:trHeight w:val="22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9C1F5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1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9BEF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080C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2A799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4805C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5=4/2*100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12D9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6=4/3*100</w:t>
            </w:r>
          </w:p>
        </w:tc>
      </w:tr>
      <w:tr w:rsidR="00C10781" w:rsidRPr="004D3CF0" w14:paraId="30D5A3FE" w14:textId="77777777" w:rsidTr="00DF3CAD">
        <w:trPr>
          <w:trHeight w:val="21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47CE1D80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PRIHODI UKUPNO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94E876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590.457,72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4AC397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1.266.500,00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E25E1B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632.565,27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E515F55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107,13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C313A7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49,95   </w:t>
            </w:r>
          </w:p>
        </w:tc>
      </w:tr>
      <w:tr w:rsidR="00C10781" w:rsidRPr="004D3CF0" w14:paraId="6C047B84" w14:textId="77777777" w:rsidTr="00DF3CAD">
        <w:trPr>
          <w:trHeight w:val="24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011534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6 PRIHODI POSLOVANJA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71BC5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590.457,72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3107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1.266.500,00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2B8EE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632.565,27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D3EB5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107,13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B5AB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49,95   </w:t>
            </w:r>
          </w:p>
        </w:tc>
      </w:tr>
      <w:tr w:rsidR="00C10781" w:rsidRPr="004D3CF0" w14:paraId="56308FF3" w14:textId="77777777" w:rsidTr="00DF3CAD">
        <w:trPr>
          <w:trHeight w:val="25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3712A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15A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0,00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F6BE6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400E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2956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905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</w:tr>
      <w:tr w:rsidR="00C10781" w:rsidRPr="004D3CF0" w14:paraId="7889C3BE" w14:textId="77777777" w:rsidTr="00DF3CAD">
        <w:trPr>
          <w:trHeight w:val="195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200F485A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RASHODI UKUPNO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05576DD4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061D1C49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25D2CDD3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32EDF1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582.501,01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830204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1.276.500,00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9526DB3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639.496,70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A47512D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109,78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D0233CB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50,10   </w:t>
            </w:r>
          </w:p>
        </w:tc>
      </w:tr>
      <w:tr w:rsidR="00C10781" w:rsidRPr="004D3CF0" w14:paraId="7005953A" w14:textId="77777777" w:rsidTr="00DF3CAD">
        <w:trPr>
          <w:trHeight w:val="22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27376C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3 RASHODI  POSLOVANJA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61D8C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580.657,27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8729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1.247.800,00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69C4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626.913,45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6CB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107,97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045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50,24   </w:t>
            </w:r>
          </w:p>
        </w:tc>
      </w:tr>
      <w:tr w:rsidR="00C10781" w:rsidRPr="004D3CF0" w14:paraId="0E3F011A" w14:textId="77777777" w:rsidTr="00DF3CAD">
        <w:trPr>
          <w:trHeight w:val="19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3AD14D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3AEE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1.843,74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B30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28.700,00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C81D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12.583,25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D475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682,49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5C3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 xml:space="preserve">43,84   </w:t>
            </w:r>
          </w:p>
        </w:tc>
      </w:tr>
      <w:tr w:rsidR="00C10781" w:rsidRPr="004D3CF0" w14:paraId="07669CF5" w14:textId="77777777" w:rsidTr="00DF3CAD">
        <w:trPr>
          <w:trHeight w:val="24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221A08BB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RAZLIKA - VIŠAK MANJAK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BCDAFF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7.956,71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CE3B1B9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-10.000,00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6260C1B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-6.931,43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AB321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EAC69E1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</w:tr>
      <w:tr w:rsidR="00C10781" w:rsidRPr="004D3CF0" w14:paraId="5EC3CFD8" w14:textId="77777777" w:rsidTr="00DF3CAD">
        <w:trPr>
          <w:trHeight w:val="240"/>
        </w:trPr>
        <w:tc>
          <w:tcPr>
            <w:tcW w:w="38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A009AC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SAŽETAK RAČUNA FINANCIRANJA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FB478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B4725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3155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4A05" w14:textId="77777777" w:rsidR="00C10781" w:rsidRPr="004D3CF0" w:rsidRDefault="00C10781" w:rsidP="00C10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E67E0" w14:textId="77777777" w:rsidR="00C10781" w:rsidRPr="004D3CF0" w:rsidRDefault="00C10781" w:rsidP="00C10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C10781" w:rsidRPr="004D3CF0" w14:paraId="0D674E75" w14:textId="77777777" w:rsidTr="00DF3CAD">
        <w:trPr>
          <w:trHeight w:val="42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0978A6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305B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IZVRŠENJE </w:t>
            </w: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br/>
              <w:t xml:space="preserve">1.-6.2025. 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9C171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REBALANS 2026*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D03D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IZVRŠENJE </w:t>
            </w: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br/>
              <w:t xml:space="preserve">1.-6.2026.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772DF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INDEKS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D67D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INDEKS**</w:t>
            </w:r>
          </w:p>
        </w:tc>
      </w:tr>
      <w:tr w:rsidR="00C10781" w:rsidRPr="004D3CF0" w14:paraId="722F8693" w14:textId="77777777" w:rsidTr="00DF3CAD">
        <w:trPr>
          <w:trHeight w:val="19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399833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B11E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7CEE0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82E56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64D3E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5=4/2*100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E1F9C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6=4/3*100</w:t>
            </w:r>
          </w:p>
        </w:tc>
      </w:tr>
      <w:tr w:rsidR="00C10781" w:rsidRPr="004D3CF0" w14:paraId="5EDFE4C1" w14:textId="77777777" w:rsidTr="00DF3CAD">
        <w:trPr>
          <w:trHeight w:val="34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4AAC9E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8 PRIMICI OD FIN. IMOVINE I ZADUŽIVANJA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DC93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CF9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5B13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B4B2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6419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</w:tr>
      <w:tr w:rsidR="00C10781" w:rsidRPr="004D3CF0" w14:paraId="08BED027" w14:textId="77777777" w:rsidTr="00DF3CAD">
        <w:trPr>
          <w:trHeight w:val="2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579981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5 IZDACI ZA FIN. IMOVINU I OTPLATE ZAJMOVA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8B817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161C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FC27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1EB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1A75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</w:tr>
      <w:tr w:rsidR="00C10781" w:rsidRPr="004D3CF0" w14:paraId="4DB0ED01" w14:textId="77777777" w:rsidTr="00DF3CAD">
        <w:trPr>
          <w:trHeight w:val="30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B440CE3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RAZLIKA PRIMITAKA I IZDATAKA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CAF1418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3A295F8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F5FF5E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F6887B6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82B3C31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</w:tr>
      <w:tr w:rsidR="00C10781" w:rsidRPr="004D3CF0" w14:paraId="5997FB19" w14:textId="77777777" w:rsidTr="00DF3CAD">
        <w:trPr>
          <w:trHeight w:val="28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17812AF7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lastRenderedPageBreak/>
              <w:t>VIŠAK / MANJAK + NETO FINANCIRANJE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159F2E9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7.959,71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2C8C2CB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-10.000,00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AE599AB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-6.931,43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545309C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A66820D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 </w:t>
            </w:r>
          </w:p>
        </w:tc>
      </w:tr>
      <w:tr w:rsidR="00C10781" w:rsidRPr="004D3CF0" w14:paraId="3864BAAA" w14:textId="77777777" w:rsidTr="00DF3CAD">
        <w:trPr>
          <w:trHeight w:val="195"/>
        </w:trPr>
        <w:tc>
          <w:tcPr>
            <w:tcW w:w="935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88C7C6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PRENESENI VIŠAK ILI PRENESENI MANJAK</w:t>
            </w:r>
          </w:p>
        </w:tc>
      </w:tr>
      <w:tr w:rsidR="00C10781" w:rsidRPr="004D3CF0" w14:paraId="0711D441" w14:textId="77777777" w:rsidTr="00DF3CAD">
        <w:trPr>
          <w:trHeight w:val="36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B59ED65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E2CF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IZVRŠENJE </w:t>
            </w: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br/>
              <w:t xml:space="preserve">1.-6.2025.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CBA2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REBALANS 2026*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D4AE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 xml:space="preserve">IZVRŠENJE </w:t>
            </w: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br/>
              <w:t xml:space="preserve">1.-6.2026.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0CDFC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INDEKS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0DEC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INDEKS**</w:t>
            </w:r>
          </w:p>
        </w:tc>
      </w:tr>
      <w:tr w:rsidR="00C10781" w:rsidRPr="004D3CF0" w14:paraId="7700F187" w14:textId="77777777" w:rsidTr="00DF3CAD">
        <w:trPr>
          <w:trHeight w:val="22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879F5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1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9C9F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59D3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DA3A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ED677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5=4/2*100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3C37" w14:textId="77777777" w:rsidR="00C10781" w:rsidRPr="004D3CF0" w:rsidRDefault="00C10781" w:rsidP="00C107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6=4/3*100</w:t>
            </w:r>
          </w:p>
        </w:tc>
      </w:tr>
      <w:tr w:rsidR="00C10781" w:rsidRPr="004D3CF0" w14:paraId="658C62D5" w14:textId="77777777" w:rsidTr="00DF3CAD">
        <w:trPr>
          <w:trHeight w:val="46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A3EC94B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PRIJENOS VIŠKA / MANJKA IZ PRETHODNE(IH) GODINE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BD28D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-23.294,43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D3F3C1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3B096E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-44.871,29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E5A465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E06B97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</w:tr>
      <w:tr w:rsidR="00C10781" w:rsidRPr="004D3CF0" w14:paraId="1E99DFA1" w14:textId="77777777" w:rsidTr="00DF3CAD">
        <w:trPr>
          <w:trHeight w:val="43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8838F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VIŠAK KOJI SE RASPOREDIO ZA POKRIĆE RAZLIKE PRIHODA I RASHODA, PRIMITAKA I IZDATAKA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9BDA4B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4.995,83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1244D0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E6CA09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5.252,72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E1996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105,14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C5FD79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52,53</w:t>
            </w:r>
          </w:p>
        </w:tc>
      </w:tr>
      <w:tr w:rsidR="00C10781" w:rsidRPr="004D3CF0" w14:paraId="343D9AA7" w14:textId="77777777" w:rsidTr="00DF3CAD">
        <w:trPr>
          <w:trHeight w:val="21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4E0B5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PRIJENOS VIŠKA/MANJKA U SLJEDEĆE RAZDOBLJE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71CD4296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807597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D2C20DC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00F56D3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626ABF66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</w:tr>
      <w:tr w:rsidR="00C10781" w:rsidRPr="004D3CF0" w14:paraId="7B09D1D1" w14:textId="77777777" w:rsidTr="00DF3CAD">
        <w:trPr>
          <w:trHeight w:val="645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A62BB81" w14:textId="77777777" w:rsidR="00C10781" w:rsidRPr="004D3CF0" w:rsidRDefault="00C10781" w:rsidP="00C107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VIŠAK/MANJAK + NETO FINANCIRANJE + PRIJENOS VIŠKA/MANJKA IZ PRETHODNE(IH) GODINE - U SLJEDEĆE RAZDOBLJE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1E99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2D282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2BA0A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F25D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C6BC" w14:textId="77777777" w:rsidR="00C10781" w:rsidRPr="004D3CF0" w:rsidRDefault="00C10781" w:rsidP="00C1078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</w:pPr>
            <w:r w:rsidRPr="004D3CF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lang w:eastAsia="hr-HR"/>
                <w14:ligatures w14:val="none"/>
              </w:rPr>
              <w:t>0,00</w:t>
            </w:r>
          </w:p>
        </w:tc>
      </w:tr>
    </w:tbl>
    <w:p w14:paraId="06C6234E" w14:textId="77777777" w:rsidR="00442D50" w:rsidRPr="004D3CF0" w:rsidRDefault="00442D50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</w:p>
    <w:p w14:paraId="7898D228" w14:textId="15F58398" w:rsidR="007D486A" w:rsidRPr="004D3CF0" w:rsidRDefault="007D486A" w:rsidP="00442D50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Ukupno ostvareni prihodi u razdoblju I-VI 202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godine iznose 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632.565,27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49,95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plana, a ukupni rashodi izvršeni su u iznosu 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639.496,70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50,10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plana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</w:t>
      </w:r>
    </w:p>
    <w:p w14:paraId="19C34763" w14:textId="1F1957BB" w:rsidR="007D486A" w:rsidRPr="004D3CF0" w:rsidRDefault="007D486A" w:rsidP="00442D50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 202</w:t>
      </w:r>
      <w:r w:rsidR="00C10781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godini ostvaren je manjak u iznosu </w:t>
      </w:r>
      <w:r w:rsidR="00C6681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44.871,29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što je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n</w:t>
      </w:r>
      <w:r w:rsidR="001E35E7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a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jvećim dijelom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uvjetovano metodološkim manjkom proračunskih sredstava u iznosu </w:t>
      </w:r>
      <w:r w:rsidR="00C6681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79.650,68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</w:t>
      </w:r>
      <w:r w:rsidR="00C6681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Nadalje, Gradsko kazalište lutaka ostvarilo je višak poslovanja sredstava</w:t>
      </w:r>
      <w:r w:rsidR="00C6681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(prihodi za posebne namjene)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 iznosu 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34.779,39 eura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U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202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godini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442D50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planirano je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izvršenje viška u iznosu 10.000,00 eura koji je raspoređen temeljem Odluke Kazališnog vijeća od 30.01.202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godine.  U promatranom razdoblju utrošeno je 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5.252,72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52,53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% od planiranih 10.000,00 eura. </w:t>
      </w:r>
      <w:r w:rsidR="00E5437B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Tijekom 2026. godine rasporediti će se ostatak viška koji će biti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realiziran u narednom razdoblju.</w:t>
      </w:r>
    </w:p>
    <w:p w14:paraId="7396685E" w14:textId="77777777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</w:p>
    <w:p w14:paraId="6C2EE252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4D3CF0">
        <w:rPr>
          <w:rFonts w:ascii="Arial" w:eastAsia="Calibri" w:hAnsi="Arial" w:cs="Arial"/>
          <w:b/>
          <w:bCs/>
          <w:kern w:val="0"/>
          <w14:ligatures w14:val="none"/>
        </w:rPr>
        <w:t>Račun prihoda i rashoda</w:t>
      </w:r>
    </w:p>
    <w:p w14:paraId="5DAD4D83" w14:textId="77777777" w:rsidR="007D486A" w:rsidRPr="004D3CF0" w:rsidRDefault="007D486A" w:rsidP="007D486A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5C837FD1" w14:textId="6C6D5B9C" w:rsidR="007D486A" w:rsidRPr="004D3CF0" w:rsidRDefault="007D486A" w:rsidP="007D486A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4D3CF0">
        <w:rPr>
          <w:rFonts w:ascii="Arial" w:eastAsia="Calibri" w:hAnsi="Arial" w:cs="Arial"/>
          <w:b/>
          <w:bCs/>
          <w:kern w:val="0"/>
          <w14:ligatures w14:val="none"/>
        </w:rPr>
        <w:t>P</w:t>
      </w:r>
      <w:r w:rsidR="0002604A" w:rsidRPr="004D3CF0">
        <w:rPr>
          <w:rFonts w:ascii="Arial" w:eastAsia="Calibri" w:hAnsi="Arial" w:cs="Arial"/>
          <w:b/>
          <w:bCs/>
          <w:kern w:val="0"/>
          <w14:ligatures w14:val="none"/>
        </w:rPr>
        <w:t>rihodi</w:t>
      </w:r>
      <w:r w:rsidR="0002604A" w:rsidRPr="004D3CF0">
        <w:rPr>
          <w:noProof/>
        </w:rPr>
        <w:drawing>
          <wp:inline distT="0" distB="0" distL="0" distR="0" wp14:anchorId="0FD8A3E9" wp14:editId="13AA80F3">
            <wp:extent cx="5760720" cy="2614295"/>
            <wp:effectExtent l="0" t="0" r="0" b="0"/>
            <wp:docPr id="16034068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B5DFA" w14:textId="1E5C3FC8" w:rsidR="007D486A" w:rsidRPr="004D3CF0" w:rsidRDefault="007D486A" w:rsidP="007D486A">
      <w:pPr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6BAE1091" w14:textId="77777777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</w:p>
    <w:p w14:paraId="0FBE7E98" w14:textId="39104068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Iz navedene tablice vidljivo je kako su ukupni prihodi planirani u iznosu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1.266.500,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00 eura, a ostvareni su u iznosu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632.565,27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49,95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% </w:t>
      </w:r>
      <w:r w:rsidR="00CA2F12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plana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Prema vrsti  prihoda najveći udio imaju prihodi od nadležnog proračuna Grada Rijeke te prihodi od tekućih pomoći proračunskim korisnicima od strane Ministarstva kulture i medija i Primorsko goranske -županije. Prihodi I-VI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u odnosu na I-VI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veći su za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7,13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,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a najvećim dijelom povećanje se odnosi na prihode od nadležnog proračuna i prihode dobivene temeljem natječaja pri Ministarstvu kulture i medija.</w:t>
      </w:r>
    </w:p>
    <w:p w14:paraId="1A0B40B2" w14:textId="76376A85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color w:val="FF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FF0000"/>
          <w:kern w:val="0"/>
          <w:lang w:eastAsia="zh-CN"/>
          <w14:ligatures w14:val="none"/>
        </w:rPr>
        <w:tab/>
      </w: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Prihodi od pomoći iz inozemstva i od subjekata unutar općeg proračuna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ostvareni su u iznosu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74.454,80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60,04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</w:t>
      </w:r>
      <w:r w:rsidR="00CA2F12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plana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za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godinu. Prihodi koji se odnose na tekuće pomoći odnose se na sredstva ostvarena od Ministarstva kulture i medija i Primorsko-goranske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lastRenderedPageBreak/>
        <w:t>županije. U odnosu na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godinu izvršenje je veće za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12,89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zbog različite dinamike ostvarivanja programa kao i više ostvarenih prihoda od strane Ministarstva medija i kulture i Primorsko goranske županije za realizaciju programa.</w:t>
      </w:r>
    </w:p>
    <w:p w14:paraId="3CBDBE56" w14:textId="15F997E1" w:rsidR="007D486A" w:rsidRPr="004D3CF0" w:rsidRDefault="007D486A" w:rsidP="007D486A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SimSun" w:hAnsi="Arial" w:cs="Arial"/>
          <w:bCs/>
          <w:color w:val="FF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  <w:tab/>
      </w: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Prihodi od upravnih i administrativnih pristojbi, pristojbi po posebnim propisima, odnosno prihodi od ulaznica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ostvareni su u iznosu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54.812,50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43,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2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6% u odnosu na </w:t>
      </w:r>
      <w:r w:rsidR="00CA2F12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plan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za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godinu. U odnosu na izvršenje I-VI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</w:t>
      </w:r>
      <w:r w:rsidRPr="004D3CF0">
        <w:rPr>
          <w:rFonts w:ascii="Arial" w:eastAsia="Calibri" w:hAnsi="Arial" w:cs="Arial"/>
          <w:kern w:val="0"/>
          <w14:ligatures w14:val="none"/>
        </w:rPr>
        <w:t xml:space="preserve">godine prihodi od ulaznica </w:t>
      </w:r>
      <w:r w:rsidR="0002604A" w:rsidRPr="004D3CF0">
        <w:rPr>
          <w:rFonts w:ascii="Arial" w:eastAsia="Calibri" w:hAnsi="Arial" w:cs="Arial"/>
          <w:kern w:val="0"/>
          <w14:ligatures w14:val="none"/>
        </w:rPr>
        <w:t>veći</w:t>
      </w:r>
      <w:r w:rsidRPr="004D3CF0">
        <w:rPr>
          <w:rFonts w:ascii="Arial" w:eastAsia="Calibri" w:hAnsi="Arial" w:cs="Arial"/>
          <w:kern w:val="0"/>
          <w14:ligatures w14:val="none"/>
        </w:rPr>
        <w:t xml:space="preserve"> su za 1</w:t>
      </w:r>
      <w:r w:rsidR="0002604A" w:rsidRPr="004D3CF0">
        <w:rPr>
          <w:rFonts w:ascii="Arial" w:eastAsia="Calibri" w:hAnsi="Arial" w:cs="Arial"/>
          <w:kern w:val="0"/>
          <w14:ligatures w14:val="none"/>
        </w:rPr>
        <w:t>4,67</w:t>
      </w:r>
      <w:r w:rsidRPr="004D3CF0">
        <w:rPr>
          <w:rFonts w:ascii="Arial" w:eastAsia="Calibri" w:hAnsi="Arial" w:cs="Arial"/>
          <w:kern w:val="0"/>
          <w14:ligatures w14:val="none"/>
        </w:rPr>
        <w:t xml:space="preserve"> % </w:t>
      </w:r>
      <w:r w:rsidR="0002604A" w:rsidRPr="004D3CF0">
        <w:rPr>
          <w:rFonts w:ascii="Arial" w:eastAsia="Calibri" w:hAnsi="Arial" w:cs="Arial"/>
          <w:kern w:val="0"/>
          <w14:ligatures w14:val="none"/>
        </w:rPr>
        <w:t>što je uvjetovano metodom i dinamikom provedbe programa odnosno izvedeno je više</w:t>
      </w:r>
      <w:r w:rsidR="00CA2F12" w:rsidRPr="004D3CF0">
        <w:rPr>
          <w:rFonts w:ascii="Arial" w:eastAsia="Calibri" w:hAnsi="Arial" w:cs="Arial"/>
          <w:kern w:val="0"/>
          <w14:ligatures w14:val="none"/>
        </w:rPr>
        <w:t xml:space="preserve"> </w:t>
      </w:r>
      <w:r w:rsidR="0002604A" w:rsidRPr="004D3CF0">
        <w:rPr>
          <w:rFonts w:ascii="Arial" w:eastAsia="Calibri" w:hAnsi="Arial" w:cs="Arial"/>
          <w:kern w:val="0"/>
          <w14:ligatures w14:val="none"/>
        </w:rPr>
        <w:t>programa sa više gledatelja.</w:t>
      </w:r>
    </w:p>
    <w:p w14:paraId="563BC2A1" w14:textId="101912A4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kern w:val="0"/>
          <w:highlight w:val="yellow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ab/>
      </w:r>
      <w:bookmarkStart w:id="1" w:name="_Hlk204078052"/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Prihodi od prodaje proizvoda i robe te pruženih usluga i prihodi od donacija te povrati po protestnim jamstvima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 razdoblju I-VI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godine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nisu ostvareni iz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razloga što je  održavanje radionica  predviđeno u drugoj polovici godine. </w:t>
      </w:r>
    </w:p>
    <w:bookmarkEnd w:id="1"/>
    <w:p w14:paraId="26B567BF" w14:textId="4FB9FDB0" w:rsidR="00AB3A13" w:rsidRPr="004D3CF0" w:rsidRDefault="007D486A" w:rsidP="00AB3A13">
      <w:pPr>
        <w:jc w:val="both"/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           </w:t>
      </w: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Prihodi iz nadležnog proračuna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ostvareni su u iznosu od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503.297,97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49,84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</w:t>
      </w:r>
      <w:r w:rsidR="00B279A2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plana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za 202</w:t>
      </w:r>
      <w:r w:rsidR="0002604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godinu</w:t>
      </w:r>
      <w:r w:rsidR="00AB3A1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U odnos</w:t>
      </w:r>
      <w:r w:rsidR="00B279A2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</w:t>
      </w:r>
      <w:r w:rsidR="00AB3A1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na isto razdoblje u 2025. godini više su ostvareno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AB3A13" w:rsidRPr="004D3CF0">
        <w:rPr>
          <w:rFonts w:ascii="Arial" w:hAnsi="Arial" w:cs="Arial"/>
        </w:rPr>
        <w:t>najvećim dijelom  ostvarenjem većeg obujma troškova redovne djelatnosti i programa u izvještajnom razdoblju.</w:t>
      </w:r>
    </w:p>
    <w:p w14:paraId="204C3421" w14:textId="1874575D" w:rsidR="002A0004" w:rsidRPr="004D3CF0" w:rsidRDefault="002A0004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Višak korišten za pokriće rashoda</w:t>
      </w:r>
    </w:p>
    <w:p w14:paraId="7932EC6B" w14:textId="77777777" w:rsidR="002A0004" w:rsidRPr="004D3CF0" w:rsidRDefault="002A0004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15D0A231" w14:textId="4E45AE7F" w:rsidR="002A0004" w:rsidRPr="004D3CF0" w:rsidRDefault="000C7F05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noProof/>
        </w:rPr>
        <w:drawing>
          <wp:inline distT="0" distB="0" distL="0" distR="0" wp14:anchorId="2FC1A9DC" wp14:editId="6CC71248">
            <wp:extent cx="5760720" cy="619125"/>
            <wp:effectExtent l="0" t="0" r="0" b="9525"/>
            <wp:docPr id="1827767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5FA6F" w14:textId="77777777" w:rsidR="002A0004" w:rsidRPr="004D3CF0" w:rsidRDefault="002A0004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CC7E25B" w14:textId="5B495C67" w:rsidR="002A0004" w:rsidRPr="004D3CF0" w:rsidRDefault="0095752C" w:rsidP="00572987">
      <w:pPr>
        <w:spacing w:after="0" w:line="240" w:lineRule="auto"/>
        <w:ind w:firstLine="708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 2026. godini planirano</w:t>
      </w:r>
      <w:r w:rsidR="00B935E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je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izvršenje viška u iznosu 10.000,00 eura koji je raspoređen temeljem Odluke Kazališnog vijeća od 30.01.2026. godine.  U promatranom razdoblju utrošeno je 5.252,72 eura ili 52,53 % od planiranih 10.000,00 eura. </w:t>
      </w:r>
    </w:p>
    <w:p w14:paraId="1C87AD42" w14:textId="77777777" w:rsidR="0095752C" w:rsidRPr="004D3CF0" w:rsidRDefault="0095752C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71F9D86E" w14:textId="77777777" w:rsidR="0095752C" w:rsidRPr="004D3CF0" w:rsidRDefault="0095752C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7059614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75468E34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52F6524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C67EE9C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022703EA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4AAF7526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7E1BC0C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7D9E2C9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4F4F8A8A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67716817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664B4620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3042E612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053D31F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35F27DC3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D02114B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473ADA0E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C867739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1E598725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4D030225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A3BD796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4F5A35D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57CFB9A" w14:textId="77777777" w:rsidR="00A071E8" w:rsidRPr="004D3CF0" w:rsidRDefault="00A071E8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65FE6D6B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01BB89C0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2A29759B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14A990A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7116F2C9" w14:textId="77777777" w:rsidR="0095752C" w:rsidRPr="004D3CF0" w:rsidRDefault="0095752C" w:rsidP="0095752C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lastRenderedPageBreak/>
        <w:t>Rashodi</w:t>
      </w:r>
    </w:p>
    <w:p w14:paraId="6C279FC8" w14:textId="77777777" w:rsidR="0095752C" w:rsidRPr="004D3CF0" w:rsidRDefault="0095752C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570E4AAA" w14:textId="023EE8CF" w:rsidR="0095752C" w:rsidRPr="004D3CF0" w:rsidRDefault="0095752C" w:rsidP="007D486A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noProof/>
        </w:rPr>
        <w:drawing>
          <wp:inline distT="0" distB="0" distL="0" distR="0" wp14:anchorId="299C8548" wp14:editId="2E336F8C">
            <wp:extent cx="5760720" cy="6794500"/>
            <wp:effectExtent l="0" t="0" r="0" b="6350"/>
            <wp:docPr id="354070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9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96FAA" w14:textId="5AECEF46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</w:pPr>
    </w:p>
    <w:p w14:paraId="602DA8B1" w14:textId="17461125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Ukupni rashodi planirani su iznosu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1.276.500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,00 eura, a izvršeni u iznosu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639.496,70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50,10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%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Rebalansa z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a 202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godinu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</w:p>
    <w:p w14:paraId="52AD89A2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</w:pPr>
    </w:p>
    <w:p w14:paraId="6685E4F0" w14:textId="132F42D0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ab/>
      </w: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RASHODI ZA ZAPOSLENE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planirani su u iznosu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894.800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,00 eura, a izvršeni su u iznosu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458.473,76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što predstavlja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51,24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Rebalansa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</w:t>
      </w:r>
    </w:p>
    <w:p w14:paraId="39ACCA44" w14:textId="0A86D6AC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4D3CF0">
        <w:rPr>
          <w:rFonts w:ascii="Arial" w:eastAsia="SimSun" w:hAnsi="Arial" w:cs="Arial"/>
          <w:b/>
          <w:kern w:val="0"/>
          <w:lang w:eastAsia="zh-CN"/>
          <w14:ligatures w14:val="none"/>
        </w:rPr>
        <w:t>Rashodi za zaposlene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obuhvaćaju plaće, ostale rashode za zaposlene i doprinose na plaće.  Plaće za r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>edovan rad u razdoblju I-VI 202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. povećane su za 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6,30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% u odnosu na isto razdoblje 202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. godine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zbog povećanja osnovice za plaće temeljem Kolektivnog ugovora u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lastRenderedPageBreak/>
        <w:t>2025. godini</w:t>
      </w:r>
      <w:r w:rsidR="00B10B56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 mjesecu</w:t>
      </w:r>
      <w:r w:rsidR="00012F65" w:rsidRPr="00012F65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012F65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travnju</w:t>
      </w:r>
      <w:r w:rsidR="00012F65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Plaće za rad u posebnim uvjetima iznose 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7.784,24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eura te su povećane u odnosu na ostvarenje za isto razdoblje 202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. godine za 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10,65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%, i prate rast plaće za redovan rad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te metodologiju </w:t>
      </w:r>
      <w:r w:rsidR="004037CA" w:rsidRPr="004D3CF0">
        <w:rPr>
          <w:rFonts w:ascii="Arial" w:eastAsia="Times New Roman" w:hAnsi="Arial" w:cs="Arial"/>
          <w:kern w:val="0"/>
          <w:lang w:eastAsia="hr-HR"/>
          <w14:ligatures w14:val="none"/>
        </w:rPr>
        <w:t>realizacije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izvedbe programa.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 Ostali rashodi za zaposlene 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smanjeni su za 18,42% i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iznose 2</w:t>
      </w:r>
      <w:r w:rsidR="00B10B56" w:rsidRPr="004D3CF0">
        <w:rPr>
          <w:rFonts w:ascii="Arial" w:eastAsia="Times New Roman" w:hAnsi="Arial" w:cs="Arial"/>
          <w:kern w:val="0"/>
          <w:lang w:eastAsia="hr-HR"/>
          <w14:ligatures w14:val="none"/>
        </w:rPr>
        <w:t>1.040,54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0A569F"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eura te su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uvjetovan</w:t>
      </w:r>
      <w:r w:rsidR="000A569F" w:rsidRPr="004D3CF0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različitom dinamikom ostvarivanja prava iz Kolektivnog ugovora tijekom kalendarske godine. Doprinosi za obvezno zdravstveno osiguranje prate troškove plaća redovnog rada i posebnih uvjeta te bilježe povećanje od </w:t>
      </w:r>
      <w:r w:rsidR="000A569F" w:rsidRPr="004D3CF0">
        <w:rPr>
          <w:rFonts w:ascii="Arial" w:eastAsia="Times New Roman" w:hAnsi="Arial" w:cs="Arial"/>
          <w:kern w:val="0"/>
          <w:lang w:eastAsia="hr-HR"/>
          <w14:ligatures w14:val="none"/>
        </w:rPr>
        <w:t>6,29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%  u odnosu na isto razdoblje 202</w:t>
      </w:r>
      <w:r w:rsidR="000A569F" w:rsidRPr="004D3CF0"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>. godine, a s osnove povećanja plaća temeljem Kolektivnog ugovora</w:t>
      </w:r>
      <w:r w:rsidR="003C245E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travnju 2025. godine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.  </w:t>
      </w:r>
    </w:p>
    <w:p w14:paraId="34D86EF1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E24DE07" w14:textId="7A8017C6" w:rsidR="007D486A" w:rsidRPr="004D3CF0" w:rsidRDefault="007D486A" w:rsidP="007D486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4D3CF0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MATERIJALNI RASHODI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planirani su u iznosu 3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52.500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,00 eura, a izvršeni su u iznosu od 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168.435,46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eura ili 4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7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78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%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171257" w:rsidRPr="004D3CF0">
        <w:rPr>
          <w:rFonts w:ascii="Arial" w:eastAsia="Times New Roman" w:hAnsi="Arial" w:cs="Arial"/>
          <w:kern w:val="0"/>
          <w:lang w:eastAsia="hr-HR"/>
          <w14:ligatures w14:val="none"/>
        </w:rPr>
        <w:t>plana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202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>. godinu. U odnosu na isto izvještajno razdoblje 202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>. godin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e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rashodi su veći za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17,61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 xml:space="preserve"> %. Do povećanje u odnosu na 202</w:t>
      </w:r>
      <w:r w:rsidR="008B4402" w:rsidRPr="004D3CF0"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kern w:val="0"/>
          <w:lang w:eastAsia="hr-HR"/>
          <w14:ligatures w14:val="none"/>
        </w:rPr>
        <w:t>. godinu došlo je prvenstveno zbog dinamike, metode i obujma provedbe repriznih i  premijernih naslova.</w:t>
      </w:r>
    </w:p>
    <w:p w14:paraId="1766A184" w14:textId="41D8FA74" w:rsidR="007D486A" w:rsidRPr="004D3CF0" w:rsidRDefault="007D486A" w:rsidP="007D486A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</w:pPr>
      <w:r w:rsidRPr="004D3CF0">
        <w:rPr>
          <w:rFonts w:ascii="Arial" w:eastAsia="Times New Roman" w:hAnsi="Arial" w:cs="Arial"/>
          <w:color w:val="FF0000"/>
          <w:kern w:val="0"/>
          <w:lang w:eastAsia="hr-HR"/>
          <w14:ligatures w14:val="none"/>
        </w:rPr>
        <w:tab/>
      </w:r>
      <w:r w:rsidRPr="004D3CF0">
        <w:rPr>
          <w:rFonts w:ascii="Arial" w:eastAsia="Times New Roman" w:hAnsi="Arial" w:cs="Arial"/>
          <w:b/>
          <w:bCs/>
          <w:color w:val="000000"/>
          <w:kern w:val="0"/>
          <w:lang w:eastAsia="hr-HR"/>
          <w14:ligatures w14:val="none"/>
        </w:rPr>
        <w:t>Rashodi za naknade troškova zaposlenima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izvršeni su u iznosu 2</w:t>
      </w:r>
      <w:r w:rsidR="0084513E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0.160,78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eura, a u odnosu na isto razdoblje 202</w:t>
      </w:r>
      <w:r w:rsidR="0084513E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godine manji su za </w:t>
      </w:r>
      <w:r w:rsidR="0084513E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1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1,62 % i odnose se na naknade troškova za službena putovanja, naknade za prijevoz, za rad na terenu i odvojeni život, stručno usavršavanje zaposlenika te ostalih naknada troškova zaposlenika. Rashodi za službena putovanja </w:t>
      </w:r>
      <w:r w:rsidR="0084513E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manji su za 24,11 %</w:t>
      </w:r>
      <w:r w:rsidR="004133F3" w:rsidRPr="004D3CF0">
        <w:rPr>
          <w:rFonts w:ascii="Arial" w:hAnsi="Arial" w:cs="Arial"/>
        </w:rPr>
        <w:t>, a</w:t>
      </w:r>
      <w:r w:rsidR="004133F3" w:rsidRPr="004D3CF0">
        <w:t xml:space="preserve"> </w:t>
      </w:r>
      <w:r w:rsidR="004133F3" w:rsidRPr="004D3CF0">
        <w:rPr>
          <w:rFonts w:ascii="Arial" w:hAnsi="Arial" w:cs="Arial"/>
        </w:rPr>
        <w:t>uvjetovan</w:t>
      </w:r>
      <w:r w:rsidR="00797826">
        <w:rPr>
          <w:rFonts w:ascii="Arial" w:hAnsi="Arial" w:cs="Arial"/>
        </w:rPr>
        <w:t>i</w:t>
      </w:r>
      <w:r w:rsidR="004133F3" w:rsidRPr="004D3CF0">
        <w:rPr>
          <w:rFonts w:ascii="Arial" w:hAnsi="Arial" w:cs="Arial"/>
        </w:rPr>
        <w:t xml:space="preserve"> su selekcijom na festivalima, te metodom i obujmom realizacije programa u ustanovi u odnosu na prethodno razdoblje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 Rashodi za naknade za prijevoz, za rad na terenu i odvojeni život povećani su za 7,</w:t>
      </w:r>
      <w:r w:rsidR="00171257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7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 u odnosu na isto razdoblje protekle godine 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na što je utjecala fluktuacija djelatnika unutar promatranog razdoblja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 Rashodi za stručno usavršavanje zaposlenika  u odnosu na isto razdoblje u 202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godine smanjeni su i iznose 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325,00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ili 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64,00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 manje obzirom da je u proteklom razdoblju 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postojala veća potreba pohađanja edukacija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 U izvještajnom razdoblju 202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 godine nije bilo potrebe za  troškovima za ostale naknade zaposlenima kao što je slučaj u 202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 godini, a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rashodi se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odnos</w:t>
      </w:r>
      <w:r w:rsidR="004133F3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e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na  sudjelovanje našeg djelatnika u koprodukcijskoj predstavi</w:t>
      </w:r>
      <w:r w:rsidR="00330177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i iznose 140,40 eura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</w:t>
      </w:r>
    </w:p>
    <w:p w14:paraId="00A5FBC5" w14:textId="082D05A6" w:rsidR="007B783C" w:rsidRPr="004D3CF0" w:rsidRDefault="007D486A" w:rsidP="007B783C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ab/>
      </w:r>
      <w:r w:rsidRPr="004D3CF0">
        <w:rPr>
          <w:rFonts w:ascii="Arial" w:eastAsia="Times New Roman" w:hAnsi="Arial" w:cs="Arial"/>
          <w:b/>
          <w:bCs/>
          <w:color w:val="000000"/>
          <w:kern w:val="0"/>
          <w:lang w:eastAsia="hr-HR"/>
          <w14:ligatures w14:val="none"/>
        </w:rPr>
        <w:t xml:space="preserve">Rashodi za materijal i energiju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izvršeni su u iznosu 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29.892,52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i u odnosu na isto razdoblje 202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godine 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veći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su za 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4,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72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%. Rashodi za uredski materijal i sirovine iznose 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3.180,96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i povećani su za </w:t>
      </w:r>
      <w:r w:rsidR="00BD68D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64,17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 u odnosu na prethodno razdoblje.</w:t>
      </w:r>
      <w:r w:rsidR="00BD68D5" w:rsidRPr="004D3CF0">
        <w:t xml:space="preserve"> </w:t>
      </w:r>
      <w:r w:rsidR="00BD68D5" w:rsidRPr="004D3CF0">
        <w:rPr>
          <w:rFonts w:ascii="Arial" w:hAnsi="Arial" w:cs="Arial"/>
        </w:rPr>
        <w:t>Rast troškova najvećim dijelom uvjetovan je dinamikom nabave sredstava za čišćenje i higijenskih potrepština, te rashodom za ostali materijal za potrebe premijernih naslova. Povećanje rashoda za materijal i sirovina u odnosu na proteklo izvještajno razdoblje je 22,92 % i iznosi 7.324,53 eura,  a odnosi se</w:t>
      </w:r>
      <w:r w:rsidR="00AA346F" w:rsidRPr="004D3CF0">
        <w:rPr>
          <w:rFonts w:ascii="Arial" w:hAnsi="Arial" w:cs="Arial"/>
        </w:rPr>
        <w:t>, najvećim dijelom,</w:t>
      </w:r>
      <w:r w:rsidR="00BD68D5" w:rsidRPr="004D3CF0">
        <w:rPr>
          <w:rFonts w:ascii="Arial" w:hAnsi="Arial" w:cs="Arial"/>
        </w:rPr>
        <w:t xml:space="preserve"> na </w:t>
      </w:r>
      <w:r w:rsidR="00D43B13">
        <w:rPr>
          <w:rFonts w:ascii="Arial" w:hAnsi="Arial" w:cs="Arial"/>
        </w:rPr>
        <w:t>trošak</w:t>
      </w:r>
      <w:r w:rsidR="00BD68D5" w:rsidRPr="004D3CF0">
        <w:rPr>
          <w:rFonts w:ascii="Arial" w:hAnsi="Arial" w:cs="Arial"/>
        </w:rPr>
        <w:t xml:space="preserve"> materijala za izradu premijernih i repriznih naslova</w:t>
      </w:r>
      <w:r w:rsidR="00222EAE" w:rsidRPr="004D3CF0">
        <w:rPr>
          <w:rFonts w:ascii="Arial" w:hAnsi="Arial" w:cs="Arial"/>
        </w:rPr>
        <w:t xml:space="preserve">. </w:t>
      </w:r>
      <w:r w:rsidR="00BD68D5" w:rsidRPr="004D3CF0">
        <w:rPr>
          <w:rFonts w:ascii="Arial" w:hAnsi="Arial" w:cs="Arial"/>
        </w:rPr>
        <w:t xml:space="preserve">Povećanje je uzrokovano različitom dinamikom, metodom i obujmom provedbe premijernih naslova i obnove repriznih naslova. </w:t>
      </w:r>
      <w:r w:rsidR="006C1A76" w:rsidRPr="004D3CF0">
        <w:rPr>
          <w:rFonts w:ascii="Arial" w:hAnsi="Arial" w:cs="Arial"/>
        </w:rPr>
        <w:t xml:space="preserve">Rashodi za energiju bilježe rast u odnosu na izvršenje u 2025. godini od 45,85 % i iznose 13.062,56 eura te se najvećim dijelom odnose na veće troškove električne energije uvjetovano smanjenjem poticaja temeljem Uredbe Vlade RH, te korištenjem dodatnog prostora u Krešimirovoj 14 za potrebe radione. Ujedno se bilježe i veći rashodi goriva koji su najvećim dijelom uvjetovani realizacijom programa te sudjelovanja na festivalima i gostovanjima GKL Rijeka.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Rashodi za materijal i dijelove za tekuće i investicijsko održavanje iznose 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2.930,14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eura, a u odnosu na isto razdoblje 202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godine 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povećani su za 249,74 % </w:t>
      </w:r>
      <w:r w:rsidR="006C1A76" w:rsidRPr="004D3CF0">
        <w:rPr>
          <w:rFonts w:ascii="Arial" w:hAnsi="Arial" w:cs="Arial"/>
        </w:rPr>
        <w:t>a odnose se na troškove nabave potrošnog materijala za popravke na zgradi, automobilima i opremi u izvještajnom razdoblju što je uvjetovano dinamikom kvarova</w:t>
      </w:r>
      <w:r w:rsidR="001A1885" w:rsidRPr="004D3CF0">
        <w:rPr>
          <w:rFonts w:ascii="Arial" w:hAnsi="Arial" w:cs="Arial"/>
        </w:rPr>
        <w:t xml:space="preserve"> i popravaka</w:t>
      </w:r>
      <w:r w:rsidR="006C1A76" w:rsidRPr="004D3CF0">
        <w:rPr>
          <w:rFonts w:ascii="Arial" w:hAnsi="Arial" w:cs="Arial"/>
        </w:rPr>
        <w:t>.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Nabava sitnog inventara u razdoblju I-VI mjeseca 202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iznosi 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2.390,48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te je u odnosu na 202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</w:t>
      </w:r>
      <w:r w:rsidR="006C1A7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povećana </w:t>
      </w:r>
      <w:r w:rsidR="006C1A76" w:rsidRPr="004D3CF0">
        <w:rPr>
          <w:rFonts w:ascii="Arial" w:hAnsi="Arial" w:cs="Arial"/>
        </w:rPr>
        <w:t>najvećim dijelom zbog troškova za kutije za pohranu kostima i rekvizita repriza i premijera te troškova za dvije auto gume za kombi</w:t>
      </w:r>
      <w:r w:rsidR="00FE6041">
        <w:rPr>
          <w:rFonts w:ascii="Arial" w:hAnsi="Arial" w:cs="Arial"/>
        </w:rPr>
        <w:t xml:space="preserve"> vozilo</w:t>
      </w:r>
      <w:r w:rsidR="006C1A76" w:rsidRPr="004D3CF0">
        <w:rPr>
          <w:rFonts w:ascii="Arial" w:hAnsi="Arial" w:cs="Arial"/>
        </w:rPr>
        <w:t xml:space="preserve"> i sitnog inventara za potrebe radione.</w:t>
      </w:r>
      <w:r w:rsidR="00B101DF" w:rsidRPr="004D3CF0">
        <w:rPr>
          <w:rFonts w:ascii="Arial" w:hAnsi="Arial" w:cs="Arial"/>
        </w:rPr>
        <w:t xml:space="preserve"> </w:t>
      </w:r>
      <w:r w:rsidRPr="004D3CF0">
        <w:rPr>
          <w:rFonts w:ascii="Arial" w:eastAsia="Times New Roman" w:hAnsi="Arial" w:cs="Arial"/>
          <w:lang w:eastAsia="hr-HR"/>
        </w:rPr>
        <w:t xml:space="preserve">Službena, radna i zaštitna odjeća i obuća iznosi </w:t>
      </w:r>
      <w:r w:rsidR="006C1A76" w:rsidRPr="004D3CF0">
        <w:rPr>
          <w:rFonts w:ascii="Arial" w:eastAsia="Times New Roman" w:hAnsi="Arial" w:cs="Arial"/>
          <w:lang w:eastAsia="hr-HR"/>
        </w:rPr>
        <w:t>1.003,85 eura</w:t>
      </w:r>
      <w:r w:rsidRPr="004D3CF0">
        <w:rPr>
          <w:rFonts w:ascii="Arial" w:eastAsia="Times New Roman" w:hAnsi="Arial" w:cs="Arial"/>
          <w:lang w:eastAsia="hr-HR"/>
        </w:rPr>
        <w:t xml:space="preserve"> te se odnosi na kupovinu radne obuće i odjeće</w:t>
      </w:r>
      <w:r w:rsidR="004B67C7">
        <w:rPr>
          <w:rFonts w:ascii="Arial" w:eastAsia="Times New Roman" w:hAnsi="Arial" w:cs="Arial"/>
          <w:lang w:eastAsia="hr-HR"/>
        </w:rPr>
        <w:t xml:space="preserve"> za</w:t>
      </w:r>
      <w:r w:rsidRPr="004D3CF0">
        <w:rPr>
          <w:rFonts w:ascii="Arial" w:eastAsia="Times New Roman" w:hAnsi="Arial" w:cs="Arial"/>
          <w:lang w:eastAsia="hr-HR"/>
        </w:rPr>
        <w:t xml:space="preserve"> djelatnike ansambla i tehnike.</w:t>
      </w:r>
    </w:p>
    <w:p w14:paraId="13831DFB" w14:textId="76CA2322" w:rsidR="007B783C" w:rsidRPr="004D3CF0" w:rsidRDefault="007D486A" w:rsidP="00E42E3D">
      <w:pPr>
        <w:spacing w:after="0"/>
        <w:jc w:val="both"/>
        <w:rPr>
          <w:rFonts w:ascii="Arial" w:eastAsia="Times New Roman" w:hAnsi="Arial" w:cs="Arial"/>
          <w:lang w:eastAsia="hr-HR"/>
        </w:rPr>
      </w:pPr>
      <w:r w:rsidRPr="004D3CF0">
        <w:rPr>
          <w:rFonts w:ascii="Arial" w:eastAsia="Calibri" w:hAnsi="Arial" w:cs="Arial"/>
          <w:color w:val="000000"/>
          <w:kern w:val="0"/>
          <w14:ligatures w14:val="none"/>
        </w:rPr>
        <w:tab/>
      </w:r>
      <w:r w:rsidRPr="004D3CF0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Rashodi za usluge 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izvršeni su u iznosu </w:t>
      </w:r>
      <w:r w:rsidR="00FA3EE5" w:rsidRPr="004D3CF0">
        <w:rPr>
          <w:rFonts w:ascii="Arial" w:eastAsia="Calibri" w:hAnsi="Arial" w:cs="Arial"/>
          <w:color w:val="000000"/>
          <w:kern w:val="0"/>
          <w14:ligatures w14:val="none"/>
        </w:rPr>
        <w:t>106.930,10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 eura  </w:t>
      </w:r>
      <w:bookmarkStart w:id="2" w:name="_Hlk172287800"/>
      <w:r w:rsidRPr="004D3CF0">
        <w:rPr>
          <w:rFonts w:ascii="Arial" w:eastAsia="Calibri" w:hAnsi="Arial" w:cs="Arial"/>
          <w:color w:val="000000"/>
          <w:kern w:val="0"/>
          <w14:ligatures w14:val="none"/>
        </w:rPr>
        <w:t>i u odnosu na isto razdoblje 202</w:t>
      </w:r>
      <w:r w:rsidR="00FA3EE5" w:rsidRPr="004D3CF0">
        <w:rPr>
          <w:rFonts w:ascii="Arial" w:eastAsia="Calibri" w:hAnsi="Arial" w:cs="Arial"/>
          <w:color w:val="000000"/>
          <w:kern w:val="0"/>
          <w14:ligatures w14:val="none"/>
        </w:rPr>
        <w:t>5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. godine veći su za </w:t>
      </w:r>
      <w:r w:rsidR="00FA3EE5" w:rsidRPr="004D3CF0">
        <w:rPr>
          <w:rFonts w:ascii="Arial" w:eastAsia="Calibri" w:hAnsi="Arial" w:cs="Arial"/>
          <w:color w:val="000000"/>
          <w:kern w:val="0"/>
          <w14:ligatures w14:val="none"/>
        </w:rPr>
        <w:t>9,82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 %</w:t>
      </w:r>
      <w:bookmarkEnd w:id="2"/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.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U odnosu na razdoblje I-VI 202</w:t>
      </w:r>
      <w:r w:rsidR="00FA3EE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godine usluge tekućeg i investicijskog održavanja </w:t>
      </w:r>
      <w:r w:rsidR="00FA3EE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smanjene su za 32,58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</w:t>
      </w:r>
      <w:r w:rsidR="00FA3EE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</w:t>
      </w:r>
      <w:r w:rsidR="00FA3EE5" w:rsidRPr="004D3CF0">
        <w:rPr>
          <w:rFonts w:ascii="Arial" w:hAnsi="Arial" w:cs="Arial"/>
        </w:rPr>
        <w:t xml:space="preserve">U 2025. godini </w:t>
      </w:r>
      <w:r w:rsidR="00E94CE7">
        <w:rPr>
          <w:rFonts w:ascii="Arial" w:hAnsi="Arial" w:cs="Arial"/>
        </w:rPr>
        <w:t>ugrađeno</w:t>
      </w:r>
      <w:r w:rsidR="00FA3EE5" w:rsidRPr="004D3CF0">
        <w:rPr>
          <w:rFonts w:ascii="Arial" w:hAnsi="Arial" w:cs="Arial"/>
        </w:rPr>
        <w:t xml:space="preserve"> je </w:t>
      </w:r>
      <w:r w:rsidR="00021AA7">
        <w:rPr>
          <w:rFonts w:ascii="Arial" w:hAnsi="Arial" w:cs="Arial"/>
        </w:rPr>
        <w:t>zastor</w:t>
      </w:r>
      <w:r w:rsidR="00FA3EE5" w:rsidRPr="004D3CF0">
        <w:rPr>
          <w:rFonts w:ascii="Arial" w:hAnsi="Arial" w:cs="Arial"/>
        </w:rPr>
        <w:t xml:space="preserve"> za scenu što je najvećim dijelom utjecalo na povećanje rashoda u prethodnom izvještajnom razdoblju.</w:t>
      </w:r>
      <w:r w:rsidR="00FA3EE5" w:rsidRPr="004D3CF0">
        <w:rPr>
          <w:rFonts w:ascii="Arial" w:eastAsia="Times New Roman" w:hAnsi="Arial" w:cs="Arial"/>
          <w:lang w:eastAsia="hr-HR"/>
        </w:rPr>
        <w:t xml:space="preserve"> </w:t>
      </w:r>
      <w:r w:rsidR="00124B7C" w:rsidRPr="004D3CF0">
        <w:rPr>
          <w:rFonts w:ascii="Arial" w:hAnsi="Arial" w:cs="Arial"/>
        </w:rPr>
        <w:lastRenderedPageBreak/>
        <w:t>Usluge promidžbe i informiranja iznose 165,00 eura te su smanjeni za 47,20 % u odnosu na proteklo izvještajno razdoblje. U 2025. godini koristile su se usluge promidžbe i reklamiranja premijernih i repriznih naslova što nije bio slučaj u tekućem razdoblju. Rashodi za komunalne usluge smanjeni su u odnosu na proteklo izvještajno razdoblje za 12,14 % obzirom da rashod za najam prostora u tekućem razdoblju tereti rashode zakupnina i najamnina. Zakupnine i najamnine povećane su za 75,14 % i iznose 8.749,46 eura te se najvećim dijelom odnose na operativni lizing kombi vozila u iznosu 4.493,94 eura. Rashodi se također odnose na najam fotokopirnog uređaja i najam prostora stana u Kružnoj 4. Povećanje se najvećim dijelom odnosi na rashod za najam prostora koji u tekućem razdoblju tereti rashode zakupnina i najamnina u iznosu 3.496,74 eura.</w:t>
      </w:r>
      <w:r w:rsidR="0054535A" w:rsidRPr="004D3CF0">
        <w:rPr>
          <w:rFonts w:ascii="Arial" w:hAnsi="Arial" w:cs="Arial"/>
        </w:rPr>
        <w:t xml:space="preserve">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Troškovi za z</w:t>
      </w:r>
      <w:r w:rsidRPr="004D3CF0">
        <w:rPr>
          <w:rFonts w:ascii="Arial" w:eastAsia="Times New Roman" w:hAnsi="Arial" w:cs="Arial"/>
          <w:lang w:eastAsia="hr-HR"/>
        </w:rPr>
        <w:t xml:space="preserve">dravstvene i veterinarske usluge </w:t>
      </w:r>
      <w:r w:rsidR="00124B7C" w:rsidRPr="004D3CF0">
        <w:rPr>
          <w:rFonts w:ascii="Arial" w:eastAsia="Times New Roman" w:hAnsi="Arial" w:cs="Arial"/>
          <w:lang w:eastAsia="hr-HR"/>
        </w:rPr>
        <w:t>smanjeni</w:t>
      </w:r>
      <w:r w:rsidRPr="004D3CF0">
        <w:rPr>
          <w:rFonts w:ascii="Arial" w:eastAsia="Times New Roman" w:hAnsi="Arial" w:cs="Arial"/>
          <w:lang w:eastAsia="hr-HR"/>
        </w:rPr>
        <w:t xml:space="preserve"> su za </w:t>
      </w:r>
      <w:r w:rsidR="00124B7C" w:rsidRPr="004D3CF0">
        <w:rPr>
          <w:rFonts w:ascii="Arial" w:eastAsia="Times New Roman" w:hAnsi="Arial" w:cs="Arial"/>
          <w:lang w:eastAsia="hr-HR"/>
        </w:rPr>
        <w:t>83,19</w:t>
      </w:r>
      <w:r w:rsidRPr="004D3CF0">
        <w:rPr>
          <w:rFonts w:ascii="Arial" w:eastAsia="Times New Roman" w:hAnsi="Arial" w:cs="Arial"/>
          <w:lang w:eastAsia="hr-HR"/>
        </w:rPr>
        <w:t xml:space="preserve">% te iznose </w:t>
      </w:r>
      <w:r w:rsidR="00124B7C" w:rsidRPr="004D3CF0">
        <w:rPr>
          <w:rFonts w:ascii="Arial" w:eastAsia="Times New Roman" w:hAnsi="Arial" w:cs="Arial"/>
          <w:lang w:eastAsia="hr-HR"/>
        </w:rPr>
        <w:t>16,81</w:t>
      </w:r>
      <w:r w:rsidRPr="004D3CF0">
        <w:rPr>
          <w:rFonts w:ascii="Arial" w:eastAsia="Times New Roman" w:hAnsi="Arial" w:cs="Arial"/>
          <w:lang w:eastAsia="hr-HR"/>
        </w:rPr>
        <w:t xml:space="preserve"> eura, a odnose se na obvezne redovne zdravstvene preglede djelatnika.</w:t>
      </w:r>
      <w:r w:rsidR="00124B7C" w:rsidRPr="004D3CF0">
        <w:rPr>
          <w:rFonts w:ascii="Arial" w:eastAsia="Times New Roman" w:hAnsi="Arial" w:cs="Arial"/>
          <w:lang w:eastAsia="hr-HR"/>
        </w:rPr>
        <w:t xml:space="preserve"> </w:t>
      </w:r>
      <w:r w:rsidR="00CB27BF" w:rsidRPr="004D3CF0">
        <w:rPr>
          <w:rFonts w:ascii="Arial" w:eastAsia="Times New Roman" w:hAnsi="Arial" w:cs="Arial"/>
          <w:lang w:eastAsia="hr-HR"/>
        </w:rPr>
        <w:t xml:space="preserve">Računalne usluge smanjene su za 9,33 % i iznose 463,79 eura obzirom da su troškovi mjesečnog održavanja internet stranica smanjeni za 10%. </w:t>
      </w:r>
      <w:r w:rsidRPr="004D3CF0">
        <w:rPr>
          <w:rFonts w:ascii="Arial" w:eastAsia="Times New Roman" w:hAnsi="Arial" w:cs="Arial"/>
          <w:lang w:eastAsia="hr-HR"/>
        </w:rPr>
        <w:t xml:space="preserve">Ostale usluge povećane su za </w:t>
      </w:r>
      <w:r w:rsidR="00124B7C" w:rsidRPr="004D3CF0">
        <w:rPr>
          <w:rFonts w:ascii="Arial" w:eastAsia="Times New Roman" w:hAnsi="Arial" w:cs="Arial"/>
          <w:lang w:eastAsia="hr-HR"/>
        </w:rPr>
        <w:t xml:space="preserve">54,81 </w:t>
      </w:r>
      <w:r w:rsidRPr="004D3CF0">
        <w:rPr>
          <w:rFonts w:ascii="Arial" w:eastAsia="Times New Roman" w:hAnsi="Arial" w:cs="Arial"/>
          <w:lang w:eastAsia="hr-HR"/>
        </w:rPr>
        <w:t xml:space="preserve">% zbog različite dinamike i metode realizacije premijernih i drugih programa. Najvećim dijelom na povećanje je utjecala realizacija festivala Ljeta u Rijeci u sklopu Tobogana </w:t>
      </w:r>
      <w:r w:rsidR="00124B7C" w:rsidRPr="004D3CF0">
        <w:rPr>
          <w:rFonts w:ascii="Arial" w:eastAsia="Times New Roman" w:hAnsi="Arial" w:cs="Arial"/>
          <w:lang w:eastAsia="hr-HR"/>
        </w:rPr>
        <w:t>u većem obujmu te je</w:t>
      </w:r>
      <w:r w:rsidR="006445E2">
        <w:rPr>
          <w:rFonts w:ascii="Arial" w:eastAsia="Times New Roman" w:hAnsi="Arial" w:cs="Arial"/>
          <w:lang w:eastAsia="hr-HR"/>
        </w:rPr>
        <w:t xml:space="preserve"> Festival</w:t>
      </w:r>
      <w:r w:rsidR="00124B7C" w:rsidRPr="004D3CF0">
        <w:rPr>
          <w:rFonts w:ascii="Arial" w:eastAsia="Times New Roman" w:hAnsi="Arial" w:cs="Arial"/>
          <w:lang w:eastAsia="hr-HR"/>
        </w:rPr>
        <w:t xml:space="preserve"> u pot</w:t>
      </w:r>
      <w:r w:rsidR="00EF09E4" w:rsidRPr="004D3CF0">
        <w:rPr>
          <w:rFonts w:ascii="Arial" w:eastAsia="Times New Roman" w:hAnsi="Arial" w:cs="Arial"/>
          <w:lang w:eastAsia="hr-HR"/>
        </w:rPr>
        <w:t>p</w:t>
      </w:r>
      <w:r w:rsidR="00124B7C" w:rsidRPr="004D3CF0">
        <w:rPr>
          <w:rFonts w:ascii="Arial" w:eastAsia="Times New Roman" w:hAnsi="Arial" w:cs="Arial"/>
          <w:lang w:eastAsia="hr-HR"/>
        </w:rPr>
        <w:t>unosti izvršen u izvještajnom razdoblju što nije bio slučaj u prethodnom razdoblju.</w:t>
      </w:r>
      <w:r w:rsidRPr="004D3CF0">
        <w:rPr>
          <w:rFonts w:ascii="Arial" w:eastAsia="Times New Roman" w:hAnsi="Arial" w:cs="Arial"/>
          <w:lang w:eastAsia="hr-HR"/>
        </w:rPr>
        <w:tab/>
      </w:r>
    </w:p>
    <w:p w14:paraId="681A1EE6" w14:textId="3A6594B9" w:rsidR="007B783C" w:rsidRPr="004D3CF0" w:rsidRDefault="007D486A" w:rsidP="00E42E3D">
      <w:pPr>
        <w:spacing w:after="0"/>
        <w:ind w:firstLine="708"/>
        <w:jc w:val="both"/>
        <w:rPr>
          <w:rFonts w:ascii="Arial" w:hAnsi="Arial" w:cs="Arial"/>
        </w:rPr>
      </w:pPr>
      <w:r w:rsidRPr="004D3CF0">
        <w:rPr>
          <w:rFonts w:ascii="Arial" w:eastAsia="Times New Roman" w:hAnsi="Arial" w:cs="Arial"/>
          <w:b/>
          <w:bCs/>
          <w:lang w:eastAsia="hr-HR"/>
        </w:rPr>
        <w:t xml:space="preserve">Naknade troškova osobama izvan radnog odnosa </w:t>
      </w:r>
      <w:r w:rsidRPr="004D3CF0">
        <w:rPr>
          <w:rFonts w:ascii="Arial" w:eastAsia="Times New Roman" w:hAnsi="Arial" w:cs="Arial"/>
          <w:lang w:eastAsia="hr-HR"/>
        </w:rPr>
        <w:t xml:space="preserve">u izvještajnom razdoblju iznose </w:t>
      </w:r>
      <w:r w:rsidR="007B783C" w:rsidRPr="004D3CF0">
        <w:rPr>
          <w:rFonts w:ascii="Arial" w:eastAsia="Times New Roman" w:hAnsi="Arial" w:cs="Arial"/>
          <w:lang w:eastAsia="hr-HR"/>
        </w:rPr>
        <w:t>6.823,00</w:t>
      </w:r>
      <w:r w:rsidRPr="004D3CF0">
        <w:rPr>
          <w:rFonts w:ascii="Arial" w:eastAsia="Times New Roman" w:hAnsi="Arial" w:cs="Arial"/>
          <w:lang w:eastAsia="hr-HR"/>
        </w:rPr>
        <w:t xml:space="preserve"> eura i odnose se na troškove smještaja vanjskih suradnika za potrebe realizacije premijernih </w:t>
      </w:r>
      <w:r w:rsidR="007B783C" w:rsidRPr="004D3CF0">
        <w:rPr>
          <w:rFonts w:ascii="Arial" w:eastAsia="Times New Roman" w:hAnsi="Arial" w:cs="Arial"/>
          <w:lang w:eastAsia="hr-HR"/>
        </w:rPr>
        <w:t xml:space="preserve">ii </w:t>
      </w:r>
      <w:r w:rsidR="007B783C" w:rsidRPr="004D3CF0">
        <w:rPr>
          <w:rFonts w:ascii="Arial" w:hAnsi="Arial" w:cs="Arial"/>
        </w:rPr>
        <w:t>repriznih naslova koji su uvjetovani obujmom i metodom realizacije programa.</w:t>
      </w:r>
    </w:p>
    <w:p w14:paraId="3D037909" w14:textId="0E26B128" w:rsidR="00E42E3D" w:rsidRPr="004D3CF0" w:rsidRDefault="007D486A" w:rsidP="00E42E3D">
      <w:pPr>
        <w:jc w:val="both"/>
        <w:rPr>
          <w:rFonts w:ascii="Arial" w:hAnsi="Arial" w:cs="Arial"/>
        </w:rPr>
      </w:pPr>
      <w:r w:rsidRPr="004D3CF0">
        <w:rPr>
          <w:rFonts w:ascii="Arial" w:eastAsia="Times New Roman" w:hAnsi="Arial" w:cs="Arial"/>
          <w:color w:val="FF0000"/>
          <w:kern w:val="0"/>
          <w:lang w:eastAsia="hr-HR"/>
          <w14:ligatures w14:val="none"/>
        </w:rPr>
        <w:tab/>
      </w:r>
      <w:r w:rsidRPr="004D3CF0">
        <w:rPr>
          <w:rFonts w:ascii="Arial" w:eastAsia="Times New Roman" w:hAnsi="Arial" w:cs="Arial"/>
          <w:b/>
          <w:bCs/>
          <w:color w:val="000000"/>
          <w:kern w:val="0"/>
          <w:lang w:eastAsia="hr-HR"/>
          <w14:ligatures w14:val="none"/>
        </w:rPr>
        <w:t xml:space="preserve">Ostali nespomenuti rashodi poslovanja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izvršeni su u iznosu od </w:t>
      </w:r>
      <w:r w:rsidR="009756F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4.629,06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 i u odnosu na isto razdoblje 202</w:t>
      </w:r>
      <w:r w:rsidR="00E42E3D" w:rsidRPr="004D3CF0">
        <w:rPr>
          <w:rFonts w:ascii="Arial" w:eastAsia="Calibri" w:hAnsi="Arial" w:cs="Arial"/>
          <w:color w:val="000000"/>
          <w:kern w:val="0"/>
          <w14:ligatures w14:val="none"/>
        </w:rPr>
        <w:t>5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. godine </w:t>
      </w:r>
      <w:r w:rsidR="00E42E3D"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veći su 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za </w:t>
      </w:r>
      <w:r w:rsidR="00E42E3D" w:rsidRPr="004D3CF0">
        <w:rPr>
          <w:rFonts w:ascii="Arial" w:eastAsia="Calibri" w:hAnsi="Arial" w:cs="Arial"/>
          <w:color w:val="000000"/>
          <w:kern w:val="0"/>
          <w14:ligatures w14:val="none"/>
        </w:rPr>
        <w:t>25,31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 %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Troškovi premija osiguranja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povećani su za 31,65 % i iznose 2.718,18 eura te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prate </w:t>
      </w:r>
      <w:r w:rsidR="009109A9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troškove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vezane za osiguranje djelatnika i auto osiguranja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, a povećani su zbog poskupljena polic</w:t>
      </w:r>
      <w:r w:rsidR="00140815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a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za auto osiguranja i osiguranja zaposlenih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 Izdaci za reprezentaciju u promatranom razdoblju u 202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godini iznose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149,96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i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povećani su za 340,54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 odnosu  na isto razdoblje prethodne godine.</w:t>
      </w:r>
      <w:r w:rsidR="00E42E3D" w:rsidRPr="004D3CF0">
        <w:rPr>
          <w:rFonts w:ascii="Arial" w:hAnsi="Arial" w:cs="Arial"/>
        </w:rPr>
        <w:t xml:space="preserve"> Povećanje se odnosi na troškove poklona za poslovne partnere premijernih naslova.</w:t>
      </w:r>
      <w:r w:rsidR="00E42E3D" w:rsidRPr="004D3CF0">
        <w:t xml:space="preserve"> </w:t>
      </w:r>
      <w:r w:rsidRPr="004D3CF0">
        <w:rPr>
          <w:rFonts w:ascii="Arial" w:eastAsia="Times New Roman" w:hAnsi="Arial" w:cs="Arial"/>
          <w:lang w:eastAsia="hr-HR"/>
        </w:rPr>
        <w:t xml:space="preserve">Rashodi za članarine i norme </w:t>
      </w:r>
      <w:r w:rsidR="00E42E3D" w:rsidRPr="004D3CF0">
        <w:rPr>
          <w:rFonts w:ascii="Arial" w:eastAsia="Times New Roman" w:hAnsi="Arial" w:cs="Arial"/>
          <w:lang w:eastAsia="hr-HR"/>
        </w:rPr>
        <w:t xml:space="preserve">smanjeni su </w:t>
      </w:r>
      <w:r w:rsidRPr="004D3CF0">
        <w:rPr>
          <w:rFonts w:ascii="Arial" w:eastAsia="Times New Roman" w:hAnsi="Arial" w:cs="Arial"/>
          <w:lang w:eastAsia="hr-HR"/>
        </w:rPr>
        <w:t xml:space="preserve">za </w:t>
      </w:r>
      <w:r w:rsidR="00E42E3D" w:rsidRPr="004D3CF0">
        <w:rPr>
          <w:rFonts w:ascii="Arial" w:eastAsia="Times New Roman" w:hAnsi="Arial" w:cs="Arial"/>
          <w:lang w:eastAsia="hr-HR"/>
        </w:rPr>
        <w:t>27,88</w:t>
      </w:r>
      <w:r w:rsidRPr="004D3CF0">
        <w:rPr>
          <w:rFonts w:ascii="Arial" w:eastAsia="Times New Roman" w:hAnsi="Arial" w:cs="Arial"/>
          <w:lang w:eastAsia="hr-HR"/>
        </w:rPr>
        <w:t xml:space="preserve"> % 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u odnosu na isto razdoblje protekle godine zbog različite dinamike rashoda raspoređenih unutar tekuće godine. Izdaci za pristojbe i naknade iznose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276,12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i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povećani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su u odnosu na proteklo razdoblje za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44,44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</w:t>
      </w:r>
      <w:r w:rsidR="00717EB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.</w:t>
      </w:r>
      <w:r w:rsidR="00E42E3D" w:rsidRPr="004D3CF0">
        <w:t xml:space="preserve"> </w:t>
      </w:r>
      <w:r w:rsidR="00E42E3D" w:rsidRPr="004D3CF0">
        <w:rPr>
          <w:rFonts w:ascii="Arial" w:hAnsi="Arial" w:cs="Arial"/>
        </w:rPr>
        <w:t>Povećanje je uvjetovano većim troškovima za pristojbu HRT-a obzirom na radio prijemnike u vozilima.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</w:t>
      </w:r>
      <w:r w:rsidRPr="004D3CF0">
        <w:rPr>
          <w:rFonts w:ascii="Arial" w:eastAsia="Times New Roman" w:hAnsi="Arial" w:cs="Arial"/>
          <w:lang w:eastAsia="hr-HR"/>
        </w:rPr>
        <w:t xml:space="preserve">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Ostali nespomenuti iznose </w:t>
      </w:r>
      <w:r w:rsidR="00717EB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96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1,8</w:t>
      </w:r>
      <w:r w:rsidR="00717EB6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0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eura ili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41,61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 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više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u odnosu na prethodno razdoblje</w:t>
      </w:r>
      <w:r w:rsidR="00E42E3D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. </w:t>
      </w:r>
      <w:r w:rsidR="00E42E3D" w:rsidRPr="004D3CF0">
        <w:rPr>
          <w:rFonts w:ascii="Arial" w:hAnsi="Arial" w:cs="Arial"/>
        </w:rPr>
        <w:t>Povećanje je najvećim dijelom uvjetovano troškovima za kripto uređaj obzirom da je u izvještajnom razdoblju dobavljen još jedan kripto uređaj te povećanjem rashoda protokola.</w:t>
      </w:r>
    </w:p>
    <w:p w14:paraId="3ABD348B" w14:textId="11F18534" w:rsidR="007D486A" w:rsidRPr="004D3CF0" w:rsidRDefault="007D486A" w:rsidP="00F4414B">
      <w:pPr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4D3CF0">
        <w:rPr>
          <w:rFonts w:ascii="Arial" w:eastAsia="Times New Roman" w:hAnsi="Arial" w:cs="Arial"/>
          <w:color w:val="FF0000"/>
          <w:kern w:val="0"/>
          <w:lang w:eastAsia="hr-HR"/>
          <w14:ligatures w14:val="none"/>
        </w:rPr>
        <w:tab/>
      </w:r>
      <w:r w:rsidRPr="004D3CF0">
        <w:rPr>
          <w:rFonts w:ascii="Arial" w:eastAsia="Times New Roman" w:hAnsi="Arial" w:cs="Arial"/>
          <w:b/>
          <w:bCs/>
          <w:color w:val="000000"/>
          <w:kern w:val="0"/>
          <w:lang w:eastAsia="hr-HR"/>
          <w14:ligatures w14:val="none"/>
        </w:rPr>
        <w:t xml:space="preserve">FINANCIJSKI RASHODI 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izvršeni su u  iznosu </w:t>
      </w:r>
      <w:r w:rsidR="00F4414B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4,23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eura odnosno </w:t>
      </w:r>
      <w:r w:rsidR="00F4414B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0,85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% </w:t>
      </w:r>
      <w:r w:rsidR="000728B7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plana na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</w:t>
      </w:r>
      <w:r w:rsidR="00F4414B" w:rsidRPr="004D3CF0">
        <w:rPr>
          <w:rFonts w:ascii="Arial" w:hAnsi="Arial" w:cs="Arial"/>
        </w:rPr>
        <w:t>što utječe izostanak troška naknade za usluge banke zbog zatvaranja bankovnog računa te GKL Rijeka u potpunosti posluje temeljem jedinstvenog računa Riznice Grada Rijeke.</w:t>
      </w:r>
      <w:r w:rsidR="00F4414B"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</w:t>
      </w:r>
      <w:r w:rsidRPr="004D3CF0">
        <w:rPr>
          <w:rFonts w:ascii="Arial" w:eastAsia="SimSun" w:hAnsi="Arial" w:cs="Arial"/>
          <w:b/>
          <w:color w:val="FF0000"/>
          <w:kern w:val="0"/>
          <w:lang w:eastAsia="zh-CN"/>
          <w14:ligatures w14:val="none"/>
        </w:rPr>
        <w:tab/>
      </w:r>
    </w:p>
    <w:p w14:paraId="07957D0F" w14:textId="2246E615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</w:pPr>
      <w:r w:rsidRPr="004D3CF0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>RASHODI ZA NABAVU PROIZVEDENE DUGOTRAJNE IMOVINE</w:t>
      </w:r>
      <w:r w:rsidRPr="004D3CF0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="00F17453"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 xml:space="preserve"> 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iznose 12.583,25 eura ili 43,84 % plana i u potpunosti će biti realizirani u narednom razdoblju. </w:t>
      </w:r>
      <w:r w:rsidR="00F17453" w:rsidRPr="004D3CF0">
        <w:rPr>
          <w:rFonts w:ascii="Arial" w:hAnsi="Arial" w:cs="Arial"/>
        </w:rPr>
        <w:t xml:space="preserve">Rashodi za nabavu nefinancijske imovine odnose se na nabavu opreme za urede, radionu, vozila i pozornicu. Najvećim dijelom odnose se na kupovinu reflektora za pozornicu koji su nabavljeni putem natječaja Ministarstva kulture i medija u iznosu 9.998,75 eura.  </w:t>
      </w:r>
    </w:p>
    <w:p w14:paraId="0CEB63A5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</w:pPr>
    </w:p>
    <w:p w14:paraId="32E4C375" w14:textId="77777777" w:rsidR="00F17453" w:rsidRPr="004D3CF0" w:rsidRDefault="00F1745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52EF41C5" w14:textId="77777777" w:rsidR="00015AA4" w:rsidRPr="004D3CF0" w:rsidRDefault="00015AA4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01D6E5F3" w14:textId="77777777" w:rsidR="00015AA4" w:rsidRPr="004D3CF0" w:rsidRDefault="00015AA4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3C1C9CA4" w14:textId="77777777" w:rsidR="00015AA4" w:rsidRPr="004D3CF0" w:rsidRDefault="00015AA4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207C9BD3" w14:textId="77777777" w:rsidR="00D926A4" w:rsidRPr="004D3CF0" w:rsidRDefault="00D926A4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35654C19" w14:textId="77777777" w:rsidR="00D926A4" w:rsidRPr="004D3CF0" w:rsidRDefault="00D926A4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74914B4D" w14:textId="277EC191" w:rsidR="00A071E8" w:rsidRPr="004D3CF0" w:rsidRDefault="00A071E8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lastRenderedPageBreak/>
        <w:t>Obrazloženje prenesenog viška</w:t>
      </w:r>
    </w:p>
    <w:p w14:paraId="2E4CFAE3" w14:textId="77777777" w:rsidR="00D926A4" w:rsidRPr="004D3CF0" w:rsidRDefault="00D926A4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4DED7A85" w14:textId="2EC83E8A" w:rsidR="00F17453" w:rsidRPr="004D3CF0" w:rsidRDefault="00D926A4" w:rsidP="00E23655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U 2026. godini planirano je izvršenje viška u iznosu 10.000,00 eura koji je raspoređen temeljem Odluke Kazališnog vijeća od 30.01.2026. godine.  U promatranom razdoblju utrošeno je 5.252,72 eura ili 52,53 % od planiranih 10.000,00 eura. </w:t>
      </w:r>
      <w:r w:rsidR="00A071E8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 2025. godini ostvaren je manjak u iznosu 44.871,29 eura što je nejvećim dijelom uvjetovano metodološkim manjkom proračunskih sredstava u iznosu 79.650,68 eura. Nadalje, Gradsko kazalište lutaka ostvarilo je višak poslovanja sredstava (prihodi za posebne namjene)  u iznosu 34.779,39 eura. U 2026. godini planirano je izvršenje viška u iznosu 10.000,00 eura koji je raspoređen temeljem Odluke Kazališnog vijeća od 30.01.2026. godine.  U promatranom razdoblju utrošeno je 5.252,72 eura ili 52,53 % od planiranih 10.000,00 eura. Tijekom 2026. godine rasporediti će se ostatak viška koji će</w:t>
      </w:r>
      <w:r w:rsidR="00E23655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 potpunosti</w:t>
      </w:r>
      <w:r w:rsidR="00A071E8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biti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utrošen</w:t>
      </w:r>
      <w:r w:rsidR="00A071E8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E23655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do kraja kalendarske godine.</w:t>
      </w:r>
    </w:p>
    <w:p w14:paraId="43409CF1" w14:textId="77777777" w:rsidR="00E23655" w:rsidRPr="004D3CF0" w:rsidRDefault="00E23655" w:rsidP="00E23655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7AD47938" w14:textId="77777777" w:rsidR="00015AA4" w:rsidRPr="004D3CF0" w:rsidRDefault="00015AA4" w:rsidP="00015AA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</w:pPr>
      <w:r w:rsidRPr="004D3CF0">
        <w:rPr>
          <w:rFonts w:ascii="Arial" w:eastAsia="Times New Roman" w:hAnsi="Arial" w:cs="Arial"/>
          <w:b/>
          <w:bCs/>
          <w:color w:val="000000"/>
          <w:kern w:val="0"/>
          <w:lang w:eastAsia="hr-HR"/>
          <w14:ligatures w14:val="none"/>
        </w:rPr>
        <w:t>Stanje novčanih sredstava</w:t>
      </w: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 </w:t>
      </w:r>
    </w:p>
    <w:p w14:paraId="4F21FD64" w14:textId="77777777" w:rsidR="00015AA4" w:rsidRPr="004D3CF0" w:rsidRDefault="00015AA4" w:rsidP="00015AA4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76C12B05" w14:textId="12CE61E6" w:rsidR="00015AA4" w:rsidRPr="004D3CF0" w:rsidRDefault="00015AA4" w:rsidP="00015A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</w:pPr>
      <w:r w:rsidRPr="004D3CF0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Stanje novčanih sredstava na polugodištu iznosi 200,00 eura, jednako kao i na početku proračunske godine i odnosi se na polog u blagajni Gradskog kazališta lutaka Rijeka.</w:t>
      </w:r>
    </w:p>
    <w:p w14:paraId="6B9C57C0" w14:textId="77777777" w:rsidR="00015AA4" w:rsidRPr="004D3CF0" w:rsidRDefault="00015AA4" w:rsidP="00015AA4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</w:p>
    <w:p w14:paraId="37D719F6" w14:textId="77777777" w:rsidR="00015AA4" w:rsidRPr="004D3CF0" w:rsidRDefault="00015AA4" w:rsidP="00E23655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52A54DB1" w14:textId="0D2B3719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Prihodi prema izvorima financiranja</w:t>
      </w:r>
    </w:p>
    <w:p w14:paraId="3D1C0885" w14:textId="77777777" w:rsidR="003F62B1" w:rsidRPr="004D3CF0" w:rsidRDefault="003F62B1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5D68B43C" w14:textId="19E77745" w:rsidR="00F17453" w:rsidRPr="004D3CF0" w:rsidRDefault="00F1745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noProof/>
        </w:rPr>
        <w:drawing>
          <wp:inline distT="0" distB="0" distL="0" distR="0" wp14:anchorId="3C7CE742" wp14:editId="336B3D84">
            <wp:extent cx="5760720" cy="2224405"/>
            <wp:effectExtent l="0" t="0" r="0" b="4445"/>
            <wp:docPr id="1146401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2741E" w14:textId="10008BED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</w:p>
    <w:p w14:paraId="354D5D32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73FD06C6" w14:textId="0A7D4AA6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ab/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Iz tablice je vidljivo kako su </w:t>
      </w:r>
      <w:r w:rsidR="003F62B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planom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ukupni prihodi planirani u iznosu 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1.266.500,00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eura te izvršeni u iznosu 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632.565,27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eura ili 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49,95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%. </w:t>
      </w:r>
    </w:p>
    <w:p w14:paraId="1AF7DBCC" w14:textId="2EF71691" w:rsidR="00103EDB" w:rsidRPr="00D6262C" w:rsidRDefault="007D486A" w:rsidP="00D6262C">
      <w:pPr>
        <w:spacing w:after="0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Prema izvoru prihoda najveći udio imaju</w:t>
      </w:r>
      <w:r w:rsidR="0043018E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="0043018E" w:rsidRPr="0043018E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opći prihodi i primici</w:t>
      </w:r>
      <w:r w:rsidR="0043018E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odnosno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3018E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prihodi iz nadležnog proračuna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(izvor 11) </w:t>
      </w:r>
      <w:r w:rsidR="002120B5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planirani u iznosu 1.009.800,00 eura, a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izvršeni</w:t>
      </w:r>
      <w:r w:rsidR="002120B5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u iznosu 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503.297,97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eura ili </w:t>
      </w:r>
      <w:r w:rsidR="00F1745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49,84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% plana.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 odnosu na isto razdoblje 202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izvršenje prihoda iz izvora 11 za financiranje rashoda poslovanja veće je za 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5,67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najvećim dijelom</w:t>
      </w:r>
      <w:r w:rsidR="00F90765" w:rsidRPr="00F90765">
        <w:rPr>
          <w:rFonts w:ascii="Arial" w:hAnsi="Arial" w:cs="Arial"/>
        </w:rPr>
        <w:t xml:space="preserve"> </w:t>
      </w:r>
      <w:r w:rsidR="004A40D3">
        <w:rPr>
          <w:rFonts w:ascii="Arial" w:hAnsi="Arial" w:cs="Arial"/>
        </w:rPr>
        <w:t xml:space="preserve">zbog </w:t>
      </w:r>
      <w:r w:rsidR="00F90765" w:rsidRPr="004D3CF0">
        <w:rPr>
          <w:rFonts w:ascii="Arial" w:hAnsi="Arial" w:cs="Arial"/>
        </w:rPr>
        <w:t>ostvarenj</w:t>
      </w:r>
      <w:r w:rsidR="004A40D3">
        <w:rPr>
          <w:rFonts w:ascii="Arial" w:hAnsi="Arial" w:cs="Arial"/>
        </w:rPr>
        <w:t>a</w:t>
      </w:r>
      <w:r w:rsidR="00F90765" w:rsidRPr="004D3CF0">
        <w:rPr>
          <w:rFonts w:ascii="Arial" w:hAnsi="Arial" w:cs="Arial"/>
        </w:rPr>
        <w:t xml:space="preserve"> većeg obujma troškova redovne djelatnosti i programa u izvještajnom razdoblju</w:t>
      </w:r>
      <w:r w:rsidR="00F90765">
        <w:rPr>
          <w:rFonts w:ascii="Arial" w:hAnsi="Arial" w:cs="Arial"/>
        </w:rPr>
        <w:t xml:space="preserve"> kao i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zbog povećanja osnovice za plaće temeljem Kolektivnog ugovora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u travnju 2025. godine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</w:t>
      </w:r>
    </w:p>
    <w:p w14:paraId="78C17DDA" w14:textId="7CAFF6C7" w:rsidR="00103EDB" w:rsidRPr="004D3CF0" w:rsidRDefault="007D486A" w:rsidP="005A4210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3018E">
        <w:rPr>
          <w:rFonts w:ascii="Arial" w:eastAsia="SimSun" w:hAnsi="Arial" w:cs="Arial"/>
          <w:b/>
          <w:kern w:val="0"/>
          <w:lang w:eastAsia="zh-CN"/>
          <w14:ligatures w14:val="none"/>
        </w:rPr>
        <w:t>Vlastiti prihodi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iz izvora 31 odnose se na prihode od održavanja radionica. U razdoblju I-VI 202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godine 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nisu r</w:t>
      </w:r>
      <w:r w:rsidR="007F011E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e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alizirani te se očekuje njihova realizacija u u drugoj polovici godine kada je predviđeno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održavanje radionica. </w:t>
      </w:r>
    </w:p>
    <w:p w14:paraId="2F71718F" w14:textId="425EE985" w:rsidR="00103EDB" w:rsidRPr="004D3CF0" w:rsidRDefault="007D486A" w:rsidP="005A4210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3018E">
        <w:rPr>
          <w:rFonts w:ascii="Arial" w:eastAsia="SimSun" w:hAnsi="Arial" w:cs="Arial"/>
          <w:b/>
          <w:kern w:val="0"/>
          <w:lang w:eastAsia="zh-CN"/>
          <w14:ligatures w14:val="none"/>
        </w:rPr>
        <w:t>Prihodi za posebne namjene odnosno prihodi od ulaznica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ostvareni su u iznosu 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54.812,50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="005A4210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43,26</w:t>
      </w:r>
      <w:r w:rsidR="00F1745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%</w:t>
      </w:r>
      <w:r w:rsidR="005A4210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te se u narednom izvještajnom razdoblju očekuje potpun</w:t>
      </w:r>
      <w:r w:rsidR="008A1555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o</w:t>
      </w:r>
      <w:r w:rsidR="005A4210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izvršenje plana.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 odnosu na izvršenje I-VI 202</w:t>
      </w:r>
      <w:r w:rsidR="005A4210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</w:t>
      </w:r>
      <w:r w:rsidRPr="004D3CF0">
        <w:rPr>
          <w:rFonts w:ascii="Arial" w:eastAsia="Calibri" w:hAnsi="Arial" w:cs="Arial"/>
          <w:kern w:val="0"/>
          <w14:ligatures w14:val="none"/>
        </w:rPr>
        <w:t xml:space="preserve">godine prihodi od ulaznica </w:t>
      </w:r>
      <w:r w:rsidR="005A4210" w:rsidRPr="004D3CF0">
        <w:rPr>
          <w:rFonts w:ascii="Arial" w:eastAsia="Calibri" w:hAnsi="Arial" w:cs="Arial"/>
          <w:kern w:val="0"/>
          <w14:ligatures w14:val="none"/>
        </w:rPr>
        <w:t xml:space="preserve">veći su za 14,67 % </w:t>
      </w:r>
      <w:r w:rsidR="005A4210" w:rsidRPr="004D3CF0">
        <w:rPr>
          <w:rFonts w:ascii="Arial" w:hAnsi="Arial" w:cs="Arial"/>
        </w:rPr>
        <w:t>obzirom da je u izvještajnom razdoblju izvedeno više predstava sa više gledatelja u odnosu na prethodno razdoblje što je uvjetovano metodom i dinamikom ostvarivanja programa.</w:t>
      </w:r>
    </w:p>
    <w:p w14:paraId="52FD345D" w14:textId="1A68DBFC" w:rsidR="007D486A" w:rsidRPr="004D3CF0" w:rsidRDefault="005A4210" w:rsidP="005A4210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4D3CF0">
        <w:rPr>
          <w:rFonts w:ascii="Arial" w:hAnsi="Arial" w:cs="Arial"/>
        </w:rPr>
        <w:lastRenderedPageBreak/>
        <w:t xml:space="preserve"> </w:t>
      </w:r>
      <w:r w:rsidR="007D486A" w:rsidRPr="0043018E">
        <w:rPr>
          <w:rFonts w:ascii="Arial" w:eastAsia="SimSun" w:hAnsi="Arial" w:cs="Arial"/>
          <w:b/>
          <w:kern w:val="0"/>
          <w:lang w:eastAsia="zh-CN"/>
          <w14:ligatures w14:val="none"/>
        </w:rPr>
        <w:t>Prihodi od pomoći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iz izvora 5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odnose se na sredstva ostvarena od Ministarstva kulture i medija i Primorsko-goranske županije i 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ostvareni su u iznosu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74.454,80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eura ili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60,04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% </w:t>
      </w:r>
      <w:r w:rsidR="003F044F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plana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za 202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6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. godinu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, a v</w:t>
      </w:r>
      <w:r w:rsidRPr="004D3CF0">
        <w:rPr>
          <w:rFonts w:ascii="Arial" w:hAnsi="Arial" w:cs="Arial"/>
        </w:rPr>
        <w:t xml:space="preserve">iše su ostvareni u izvještajnom razdoblju temeljem natječaja </w:t>
      </w:r>
      <w:r w:rsidR="00850FEE" w:rsidRPr="004D3CF0">
        <w:rPr>
          <w:rFonts w:ascii="Arial" w:hAnsi="Arial" w:cs="Arial"/>
        </w:rPr>
        <w:t xml:space="preserve">i </w:t>
      </w:r>
      <w:r w:rsidRPr="004D3CF0">
        <w:rPr>
          <w:rFonts w:ascii="Arial" w:hAnsi="Arial" w:cs="Arial"/>
        </w:rPr>
        <w:t>uvjetovani</w:t>
      </w:r>
      <w:r w:rsidR="00850FEE" w:rsidRPr="004D3CF0">
        <w:rPr>
          <w:rFonts w:ascii="Arial" w:hAnsi="Arial" w:cs="Arial"/>
        </w:rPr>
        <w:t xml:space="preserve"> su</w:t>
      </w:r>
      <w:r w:rsidRPr="004D3CF0">
        <w:rPr>
          <w:rFonts w:ascii="Arial" w:hAnsi="Arial" w:cs="Arial"/>
        </w:rPr>
        <w:t xml:space="preserve"> većim obujmom programa Ustanove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. Prihodi koji se odnose </w:t>
      </w:r>
      <w:r w:rsidR="00E24F98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na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pomoći iz državnog proračuna iz izvora 50 odnosno 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sredstva Ministarstva kulture i medija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ostvareni su 58,01 % </w:t>
      </w:r>
      <w:r w:rsidR="000D691D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plana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za 2026. godinu i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Pr="004D3CF0">
        <w:rPr>
          <w:rFonts w:ascii="Arial" w:hAnsi="Arial" w:cs="Arial"/>
        </w:rPr>
        <w:t>odnose se na premijerne naslove (Miševi i mačke naglavačke, Bobi i barčica, Uho) na  Ruksak pun kulture, inozemno putovanje u Maribor te Reviju lutkarskih kazališta.</w:t>
      </w:r>
      <w:r w:rsidRPr="004D3CF0">
        <w:t xml:space="preserve"> </w:t>
      </w:r>
      <w:r w:rsidR="00850FEE" w:rsidRPr="004D3CF0">
        <w:rPr>
          <w:rFonts w:ascii="Arial" w:hAnsi="Arial" w:cs="Arial"/>
        </w:rPr>
        <w:t>Prihodi koji se odnose na ostale pomoći iz izvora 52 odnose se na sredstva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Primorsko-goranske županije</w:t>
      </w:r>
      <w:r w:rsidR="00850FEE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i ostvareni su u iznosu od 14.700,00 eura i odnose se na </w:t>
      </w:r>
      <w:r w:rsidR="00B40C6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premijerni program (</w:t>
      </w:r>
      <w:r w:rsidR="00B40C63" w:rsidRPr="004D3CF0">
        <w:rPr>
          <w:rFonts w:ascii="Arial" w:hAnsi="Arial" w:cs="Arial"/>
        </w:rPr>
        <w:t>Miševi i mačke naglavačke, Bobi i barčica, Uho) te na Reviju lutkarskih kazališta.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B40C6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U narednom razdoblju izvršena je prijava </w:t>
      </w:r>
      <w:r w:rsidR="00F6462B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pri Primorsko-goranskoj županiji </w:t>
      </w:r>
      <w:r w:rsidR="00B40C6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za nagradu za </w:t>
      </w:r>
      <w:r w:rsidR="001502EB">
        <w:rPr>
          <w:rFonts w:ascii="Arial" w:eastAsia="SimSun" w:hAnsi="Arial" w:cs="Arial"/>
          <w:bCs/>
          <w:kern w:val="0"/>
          <w:lang w:eastAsia="zh-CN"/>
          <w14:ligatures w14:val="none"/>
        </w:rPr>
        <w:t>unaprijeđenje kvalitete kulturnog stvaralaštva</w:t>
      </w:r>
      <w:r w:rsidR="00E24F98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za što se prihod očekuje u drugoj polovici godine. U 2026. godini izvorima financiranja izmijenjene su brojčane oznake na način da su u 2025. godini pomoći bile unutar izvora 57, a u izvještajnom razdoblju </w:t>
      </w:r>
      <w:r w:rsidR="003343BC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razdvojeni su </w:t>
      </w:r>
      <w:r w:rsidR="00A9051F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na dvije brojčane oznake;</w:t>
      </w:r>
      <w:r w:rsidR="003343BC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50</w:t>
      </w:r>
      <w:r w:rsidR="00A9051F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3343BC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pomoći iz državnog proračuna i 52 ostale pomoći.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Nadalje,</w:t>
      </w:r>
      <w:r w:rsidR="007D486A" w:rsidRPr="004D3CF0">
        <w:rPr>
          <w:rFonts w:ascii="Arial" w:hAnsi="Arial" w:cs="Arial"/>
        </w:rPr>
        <w:t xml:space="preserve"> ostvarenje prihoda za </w:t>
      </w:r>
      <w:r w:rsidR="00E24F98" w:rsidRPr="004D3CF0">
        <w:rPr>
          <w:rFonts w:ascii="Arial" w:hAnsi="Arial" w:cs="Arial"/>
        </w:rPr>
        <w:t>LED reflektore</w:t>
      </w:r>
      <w:r w:rsidR="007D486A" w:rsidRPr="004D3CF0">
        <w:rPr>
          <w:rFonts w:ascii="Arial" w:hAnsi="Arial" w:cs="Arial"/>
        </w:rPr>
        <w:t xml:space="preserve"> na pozornici temeljem Ugovora sa Ministarstvom kulture i medija izvršen je  početkom srpnja</w:t>
      </w:r>
      <w:r w:rsidR="00A9051F" w:rsidRPr="004D3CF0">
        <w:rPr>
          <w:rFonts w:ascii="Arial" w:hAnsi="Arial" w:cs="Arial"/>
        </w:rPr>
        <w:t>.</w:t>
      </w:r>
      <w:r w:rsidR="007D486A" w:rsidRPr="004D3CF0">
        <w:rPr>
          <w:rFonts w:ascii="Arial" w:hAnsi="Arial" w:cs="Arial"/>
        </w:rPr>
        <w:t xml:space="preserve"> Ministarstvo kulture i medija povrat sredstava isplaćuje nakon izvršene usluge čime je uvjetovana neravnoteža unutar polugodišta koja</w:t>
      </w:r>
      <w:r w:rsidR="00A9051F" w:rsidRPr="004D3CF0">
        <w:rPr>
          <w:rFonts w:ascii="Arial" w:hAnsi="Arial" w:cs="Arial"/>
        </w:rPr>
        <w:t xml:space="preserve"> će</w:t>
      </w:r>
      <w:r w:rsidR="007D486A" w:rsidRPr="004D3CF0">
        <w:rPr>
          <w:rFonts w:ascii="Arial" w:hAnsi="Arial" w:cs="Arial"/>
        </w:rPr>
        <w:t xml:space="preserve"> se  poravna</w:t>
      </w:r>
      <w:r w:rsidR="00A9051F" w:rsidRPr="004D3CF0">
        <w:rPr>
          <w:rFonts w:ascii="Arial" w:hAnsi="Arial" w:cs="Arial"/>
        </w:rPr>
        <w:t>ti</w:t>
      </w:r>
      <w:r w:rsidR="007D486A" w:rsidRPr="004D3CF0">
        <w:rPr>
          <w:rFonts w:ascii="Arial" w:hAnsi="Arial" w:cs="Arial"/>
        </w:rPr>
        <w:t xml:space="preserve"> početkom srpnja. </w:t>
      </w:r>
      <w:r w:rsidR="007D486A" w:rsidRPr="004D3CF0">
        <w:rPr>
          <w:rFonts w:ascii="Arial" w:hAnsi="Arial" w:cs="Arial"/>
          <w:color w:val="000000"/>
        </w:rPr>
        <w:t xml:space="preserve"> </w:t>
      </w:r>
    </w:p>
    <w:p w14:paraId="55825B48" w14:textId="3CF6625B" w:rsidR="007D486A" w:rsidRPr="004D3CF0" w:rsidRDefault="007D486A" w:rsidP="007D486A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4D3CF0">
        <w:rPr>
          <w:rFonts w:ascii="Arial" w:eastAsia="Calibri" w:hAnsi="Arial" w:cs="Arial"/>
          <w:kern w:val="0"/>
          <w14:ligatures w14:val="none"/>
        </w:rPr>
        <w:tab/>
      </w:r>
    </w:p>
    <w:p w14:paraId="588E6A42" w14:textId="77777777" w:rsidR="00103EDB" w:rsidRPr="004D3CF0" w:rsidRDefault="00103EDB" w:rsidP="007D486A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0733672A" w14:textId="77777777" w:rsidR="00103EDB" w:rsidRPr="004D3CF0" w:rsidRDefault="00103EDB" w:rsidP="007D486A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0EDD1194" w14:textId="7621BBED" w:rsidR="007E2F7F" w:rsidRPr="004D3CF0" w:rsidRDefault="007E2F7F" w:rsidP="007D486A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4D3CF0">
        <w:rPr>
          <w:rFonts w:ascii="Arial" w:eastAsia="Calibri" w:hAnsi="Arial" w:cs="Arial"/>
          <w:b/>
          <w:bCs/>
          <w:kern w:val="0"/>
          <w14:ligatures w14:val="none"/>
        </w:rPr>
        <w:t>Preneseni višak</w:t>
      </w:r>
    </w:p>
    <w:p w14:paraId="43BB6A76" w14:textId="62A3F5AD" w:rsidR="00AC611F" w:rsidRPr="004D3CF0" w:rsidRDefault="007E2F7F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noProof/>
        </w:rPr>
        <w:drawing>
          <wp:inline distT="0" distB="0" distL="0" distR="0" wp14:anchorId="0EC976CD" wp14:editId="2E4196CC">
            <wp:extent cx="5760720" cy="486410"/>
            <wp:effectExtent l="0" t="0" r="0" b="8890"/>
            <wp:docPr id="16091843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A3E0F" w14:textId="3E992F49" w:rsidR="007E2F7F" w:rsidRPr="004D3CF0" w:rsidRDefault="007E2F7F" w:rsidP="007E2F7F">
      <w:pPr>
        <w:spacing w:after="0" w:line="240" w:lineRule="auto"/>
        <w:ind w:firstLine="708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Prema strukturi preneseni višak odnosi se na višak sredstava iz prihoda za posebne namjene odnosno  na prihod ostvaren od ulaznica. U 2026. godini </w:t>
      </w:r>
      <w:r w:rsidR="00F65B79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planirano je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izvršenje viška u iznosu 10.000,00 eura koji je raspoređen temeljem Odluke Kazališnog vijeća od 30.01.2026. godine.  U promatranom razdoblju utrošeno je 5.252,72 eura ili 52,53 % od planiranih 10.000,00 eura. Višak je utrošen na financiranje rashoda za zakupnine i n</w:t>
      </w:r>
      <w:r w:rsidR="007F011E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jamnine opreme (fotokopirni aparat) u iznosu 758,78 eura te za najam operativnog lizinga za kombi vozilo u iznosu 4.493,94 eura.</w:t>
      </w:r>
    </w:p>
    <w:p w14:paraId="6A2B8A75" w14:textId="77777777" w:rsidR="007E2F7F" w:rsidRPr="004D3CF0" w:rsidRDefault="007E2F7F" w:rsidP="007E2F7F">
      <w:pPr>
        <w:spacing w:after="0" w:line="240" w:lineRule="auto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</w:p>
    <w:p w14:paraId="7A997BC4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6D2E1718" w14:textId="77777777" w:rsidR="007D486A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1D71BCF5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30064EE5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079ADE6C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2E600369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3B46517A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789BDC1D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6A43A490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4FA2321F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1E18AA25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5337654B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1C8EEE13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424CF6DA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24135C75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341D7936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7ED12C83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22A31AE9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1188CA9D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highlight w:val="yellow"/>
          <w:lang w:eastAsia="zh-CN"/>
          <w14:ligatures w14:val="none"/>
        </w:rPr>
      </w:pPr>
    </w:p>
    <w:p w14:paraId="1C38EE87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lastRenderedPageBreak/>
        <w:t>Rashodi prema izvorima financiranja</w:t>
      </w:r>
    </w:p>
    <w:p w14:paraId="5174C94C" w14:textId="77777777" w:rsidR="00F22603" w:rsidRPr="004D3CF0" w:rsidRDefault="00F2260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2A68B2CD" w14:textId="56524CDA" w:rsidR="007E2F7F" w:rsidRPr="004D3CF0" w:rsidRDefault="00427BD0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noProof/>
        </w:rPr>
        <w:drawing>
          <wp:inline distT="0" distB="0" distL="0" distR="0" wp14:anchorId="2F81171E" wp14:editId="463BF357">
            <wp:extent cx="5760720" cy="2664460"/>
            <wp:effectExtent l="0" t="0" r="0" b="2540"/>
            <wp:docPr id="8759117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37FCB" w14:textId="25212713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1FEA64EA" w14:textId="3216906B" w:rsidR="007D486A" w:rsidRPr="00FF6AA3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ab/>
      </w:r>
      <w:r w:rsidR="00FF6AA3" w:rsidRPr="00FF6AA3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Ukupni</w:t>
      </w:r>
      <w:r w:rsidR="00FF6AA3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rashodi planirani su u iznosu 1.276.500,00 eura, a izvršeni u iznosu 639.496,70 eura ili 50,10 % plana.  </w:t>
      </w:r>
    </w:p>
    <w:p w14:paraId="25C78C89" w14:textId="77777777" w:rsidR="00D04F73" w:rsidRPr="00D6262C" w:rsidRDefault="007D486A" w:rsidP="00D04F73">
      <w:pPr>
        <w:spacing w:after="0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Rashodi iz izvora </w:t>
      </w:r>
      <w:r w:rsidRPr="00FF6AA3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Opći prihodi i primici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planirani su u iznosu </w:t>
      </w:r>
      <w:r w:rsidR="00EA4488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1.009.800,</w:t>
      </w:r>
      <w:r w:rsidR="00427BD0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00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eura, a ostvareni u iznosu </w:t>
      </w:r>
      <w:r w:rsidR="00EA4488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525.448,23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eura ili </w:t>
      </w:r>
      <w:r w:rsidR="009E1957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52,03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% 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plana</w:t>
      </w:r>
      <w:r w:rsidR="00EA4488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.  </w:t>
      </w:r>
      <w:r w:rsidR="00D04F73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U odnosu na 2025. godinu veći su za 6,55 % zbog </w:t>
      </w:r>
      <w:r w:rsidR="00D04F73" w:rsidRPr="004D3CF0">
        <w:rPr>
          <w:rFonts w:ascii="Arial" w:hAnsi="Arial" w:cs="Arial"/>
        </w:rPr>
        <w:t>ostvarenj</w:t>
      </w:r>
      <w:r w:rsidR="00D04F73">
        <w:rPr>
          <w:rFonts w:ascii="Arial" w:hAnsi="Arial" w:cs="Arial"/>
        </w:rPr>
        <w:t>a</w:t>
      </w:r>
      <w:r w:rsidR="00D04F73" w:rsidRPr="004D3CF0">
        <w:rPr>
          <w:rFonts w:ascii="Arial" w:hAnsi="Arial" w:cs="Arial"/>
        </w:rPr>
        <w:t xml:space="preserve"> većeg obujma troškova redovne djelatnosti i programa u izvještajnom razdoblju</w:t>
      </w:r>
      <w:r w:rsidR="00D04F73">
        <w:rPr>
          <w:rFonts w:ascii="Arial" w:hAnsi="Arial" w:cs="Arial"/>
        </w:rPr>
        <w:t xml:space="preserve"> kao i</w:t>
      </w:r>
      <w:r w:rsidR="00D04F73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zbog povećanja osnovice za plaće temeljem Kolektivnog ugovora u travnju 2025. godine.</w:t>
      </w:r>
    </w:p>
    <w:p w14:paraId="4E872401" w14:textId="372F4C7B" w:rsidR="007D486A" w:rsidRPr="004D3CF0" w:rsidRDefault="007D486A" w:rsidP="00EA4488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Rashodi iz izvora </w:t>
      </w:r>
      <w:r w:rsidRPr="00FF6AA3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Vlastiti prihodi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planirani su u iznosu 6.000,00 eura</w:t>
      </w:r>
      <w:r w:rsidR="00AF5B7E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i </w:t>
      </w:r>
      <w:r w:rsidR="00AF5B7E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nisu ostvareni iz razloga što je  održavanje radionica  predviđeno u drugoj polovici godine. </w:t>
      </w:r>
    </w:p>
    <w:p w14:paraId="317D1C98" w14:textId="30C73D0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ab/>
        <w:t xml:space="preserve">Rashodi iz izvora </w:t>
      </w:r>
      <w:r w:rsidRPr="00FF6AA3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Prihodi za posebne namjene (prihodi od ulaznica)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planirani su u iznosu </w:t>
      </w:r>
      <w:r w:rsidR="00D45F03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126.700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,00 eura, a izvršeni u iznosu 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66.709,08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eura ili 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52,65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% 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plana</w:t>
      </w:r>
      <w:r w:rsidR="00353BF5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.</w:t>
      </w:r>
      <w:r w:rsidR="00C31A8B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="00D04F73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U odnosu na 2025. godinu rashodi </w:t>
      </w:r>
      <w:r w:rsidR="00381BAB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iz izvora 44 veći su za 20,6 % obzirom da je realizirano više programa većeg obujma.</w:t>
      </w:r>
    </w:p>
    <w:p w14:paraId="27BED214" w14:textId="21721C31" w:rsidR="007D486A" w:rsidRPr="004D3CF0" w:rsidRDefault="007D486A" w:rsidP="00216E61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Rashodi iz izvora </w:t>
      </w:r>
      <w:r w:rsidRPr="00FF6AA3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pomoći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odnose se na sredstva Ministarstva kulture i medija te Primorsko-goranske županije i planirani su u iznosu 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1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24.000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,00 eura, a izvršeni u iznosu 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42.086,67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eura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odnosno 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33,94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% plana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. Rashodi su manje ostvareni obzirom da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prat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e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terminski plan ostvarenja programa u izvještajnom razdoblju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i u potpunosti će biti realizirani do kraja kalendarske godine</w:t>
      </w:r>
      <w:r w:rsidR="00635BFF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realizacijom programa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.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="00216E61" w:rsidRPr="007D438C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 xml:space="preserve">Pomoći iz državnog proračuna iz izvora </w:t>
      </w:r>
      <w:r w:rsidR="00216E6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50 u izvještajnom razdoblju  odnose se na rashode za sredstva temeljem natječaja za premijerne naslove </w:t>
      </w:r>
      <w:r w:rsidR="00216E61" w:rsidRPr="004D3CF0">
        <w:rPr>
          <w:rFonts w:ascii="Arial" w:hAnsi="Arial" w:cs="Arial"/>
        </w:rPr>
        <w:t>Miševi i mačke naglavačke</w:t>
      </w:r>
      <w:r w:rsidR="00635BFF" w:rsidRPr="004D3CF0">
        <w:rPr>
          <w:rFonts w:ascii="Arial" w:hAnsi="Arial" w:cs="Arial"/>
        </w:rPr>
        <w:t xml:space="preserve"> i</w:t>
      </w:r>
      <w:r w:rsidR="00216E61" w:rsidRPr="004D3CF0">
        <w:rPr>
          <w:rFonts w:ascii="Arial" w:hAnsi="Arial" w:cs="Arial"/>
        </w:rPr>
        <w:t xml:space="preserve"> Bobi i barčica. </w:t>
      </w:r>
      <w:r w:rsidR="00216E61" w:rsidRPr="007D438C">
        <w:rPr>
          <w:rFonts w:ascii="Arial" w:hAnsi="Arial" w:cs="Arial"/>
          <w:b/>
          <w:bCs/>
        </w:rPr>
        <w:t>O</w:t>
      </w:r>
      <w:r w:rsidR="00216E61" w:rsidRPr="007D438C">
        <w:rPr>
          <w:rFonts w:ascii="Arial" w:eastAsia="SimSun" w:hAnsi="Arial" w:cs="Arial"/>
          <w:b/>
          <w:bCs/>
          <w:color w:val="000000"/>
          <w:kern w:val="0"/>
          <w:lang w:eastAsia="zh-CN"/>
          <w14:ligatures w14:val="none"/>
        </w:rPr>
        <w:t>stale pomoći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iz izvora 52 odnose se </w:t>
      </w:r>
      <w:r w:rsidR="00216E6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na rashode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izvještajnog razdoblja </w:t>
      </w:r>
      <w:r w:rsidR="00216E6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temeljem natječaja Primorsko-goranske županije za premijerne naslove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Miševi i mačke i Bobi i barčica.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Izvršenje </w:t>
      </w:r>
      <w:r w:rsidR="00A00FB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rashoda iz pomoći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u odnosu na 202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5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. godinu veće je za </w:t>
      </w:r>
      <w:r w:rsidR="003C478D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45,89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% na što je utjecal</w:t>
      </w:r>
      <w:r w:rsidR="00EE6810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o</w:t>
      </w:r>
      <w:r w:rsidR="007D438C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veći</w:t>
      </w:r>
      <w:r w:rsidR="004321F6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,</w:t>
      </w:r>
      <w:r w:rsidR="00EE6810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obujam pojedinačnih premijera </w:t>
      </w:r>
      <w:r w:rsidR="00216E6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uvjetovan većim obujmom sredstava </w:t>
      </w:r>
      <w:r w:rsidR="00771B26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ostvarenih</w:t>
      </w:r>
      <w:r w:rsidR="00216E61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temeljem natječaja.</w:t>
      </w:r>
    </w:p>
    <w:p w14:paraId="0DA65754" w14:textId="3D6F81EA" w:rsidR="007D486A" w:rsidRPr="004D3CF0" w:rsidRDefault="001D759F" w:rsidP="001D759F">
      <w:pPr>
        <w:spacing w:after="0" w:line="240" w:lineRule="auto"/>
        <w:ind w:firstLine="708"/>
        <w:jc w:val="both"/>
        <w:rPr>
          <w:rFonts w:ascii="Arial" w:eastAsia="SimSun" w:hAnsi="Arial" w:cs="Arial"/>
          <w:b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 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U 2026. godini Rebalansom je planirano izvršenje viška u iznosu 10.000,00 eura koji je raspoređen temeljem Odluke Kazališnog vijeća od 30.01.2026. godine.  U promatranom razdoblju utrošeno je 5.252,72 eura ili 52,53 % od planiranih 10.000,00 eura. Višak je utrošen na financiranje rashoda za zakupnine i n</w:t>
      </w:r>
      <w:r w:rsidR="00335D2D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a</w:t>
      </w:r>
      <w:r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>jamnine opreme (fotokopirni aparat) u iznosu 758,78 eura te za najam operativnog lizinga za kombi vozilo u iznosu 4.493,94 eura.</w:t>
      </w:r>
      <w:r w:rsidR="007D486A" w:rsidRPr="004D3CF0">
        <w:rPr>
          <w:rFonts w:ascii="Arial" w:eastAsia="SimSun" w:hAnsi="Arial" w:cs="Arial"/>
          <w:bCs/>
          <w:kern w:val="0"/>
          <w:lang w:eastAsia="zh-CN"/>
          <w14:ligatures w14:val="none"/>
        </w:rPr>
        <w:t xml:space="preserve"> </w:t>
      </w:r>
      <w:r w:rsidR="007D486A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Prema strukturi planiranog viška po izvorima, odlukom o raspodjeli rezultata poslovanja raspoređeno je po izvoru 94 za materijalne rashode 10.000,00 eura.  </w:t>
      </w:r>
    </w:p>
    <w:p w14:paraId="4170F27B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2C0300D1" w14:textId="77777777" w:rsidR="00FF6AA3" w:rsidRDefault="00FF6AA3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25131EAB" w14:textId="75441BE0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lastRenderedPageBreak/>
        <w:t>Račun rashoda prema funkcij</w:t>
      </w:r>
      <w:r w:rsidR="0013078F"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s</w:t>
      </w: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koj klasifikaciji</w:t>
      </w:r>
    </w:p>
    <w:p w14:paraId="698C529F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474A890F" w14:textId="2FFE17B6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U izvještaju o rashodima prema funkcijskoj klasifikaciji 08 Rekreacija, kultura, religija  ostvareno je </w:t>
      </w:r>
      <w:r w:rsidR="00D062EA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1.276.500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,00 eura ili </w:t>
      </w:r>
      <w:r w:rsidR="00D062EA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50,10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% godišnjeg plana i </w:t>
      </w:r>
      <w:r w:rsidR="00D062EA"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 xml:space="preserve">9,78 </w:t>
      </w: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% više u odnosu na isto razdoblje prethodne godine.</w:t>
      </w:r>
    </w:p>
    <w:p w14:paraId="1178E27D" w14:textId="77777777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</w:p>
    <w:p w14:paraId="6595874F" w14:textId="77777777" w:rsidR="007D486A" w:rsidRPr="004D3CF0" w:rsidRDefault="007D486A" w:rsidP="007D486A">
      <w:pPr>
        <w:spacing w:after="0" w:line="240" w:lineRule="auto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  <w:t>Račun financiranja</w:t>
      </w:r>
    </w:p>
    <w:p w14:paraId="3474E0DB" w14:textId="77777777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02E2EE68" w14:textId="77777777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</w:pPr>
      <w:r w:rsidRPr="004D3CF0">
        <w:rPr>
          <w:rFonts w:ascii="Arial" w:eastAsia="SimSun" w:hAnsi="Arial" w:cs="Arial"/>
          <w:bCs/>
          <w:color w:val="000000"/>
          <w:kern w:val="0"/>
          <w:lang w:eastAsia="zh-CN"/>
          <w14:ligatures w14:val="none"/>
        </w:rPr>
        <w:t>Gradsko kazalište lutaka Rijeka nema stavke primitaka i izdataka.</w:t>
      </w:r>
    </w:p>
    <w:p w14:paraId="56E0ABC6" w14:textId="77777777" w:rsidR="007D486A" w:rsidRPr="004D3CF0" w:rsidRDefault="007D486A" w:rsidP="007D486A">
      <w:pPr>
        <w:spacing w:after="0" w:line="240" w:lineRule="auto"/>
        <w:ind w:firstLine="708"/>
        <w:jc w:val="both"/>
        <w:rPr>
          <w:rFonts w:ascii="Arial" w:eastAsia="SimSun" w:hAnsi="Arial" w:cs="Arial"/>
          <w:b/>
          <w:color w:val="000000"/>
          <w:kern w:val="0"/>
          <w:lang w:eastAsia="zh-CN"/>
          <w14:ligatures w14:val="none"/>
        </w:rPr>
      </w:pPr>
    </w:p>
    <w:p w14:paraId="03538B79" w14:textId="35C11B1B" w:rsidR="007D486A" w:rsidRPr="004D3CF0" w:rsidRDefault="00E40876" w:rsidP="008C2860">
      <w:pPr>
        <w:spacing w:after="0" w:line="276" w:lineRule="auto"/>
        <w:jc w:val="both"/>
        <w:rPr>
          <w:rFonts w:ascii="Arial" w:eastAsia="Calibri" w:hAnsi="Arial" w:cs="Arial"/>
          <w:b/>
          <w:bCs/>
          <w:kern w:val="0"/>
          <w:u w:val="single"/>
          <w14:ligatures w14:val="none"/>
        </w:rPr>
      </w:pPr>
      <w:r w:rsidRPr="004D3CF0">
        <w:rPr>
          <w:rFonts w:ascii="Arial" w:eastAsia="Calibri" w:hAnsi="Arial" w:cs="Arial"/>
          <w:b/>
          <w:bCs/>
          <w:kern w:val="0"/>
          <w:u w:val="single"/>
          <w14:ligatures w14:val="none"/>
        </w:rPr>
        <w:t>Posebni dio</w:t>
      </w:r>
    </w:p>
    <w:p w14:paraId="1D28168A" w14:textId="77777777" w:rsidR="00B5156F" w:rsidRPr="004D3CF0" w:rsidRDefault="00B5156F" w:rsidP="008C2860">
      <w:pPr>
        <w:spacing w:after="0" w:line="276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26C06907" w14:textId="3517F84A" w:rsidR="00B5156F" w:rsidRPr="004D3CF0" w:rsidRDefault="00B5156F" w:rsidP="00B5156F">
      <w:pPr>
        <w:ind w:firstLine="708"/>
        <w:jc w:val="both"/>
        <w:rPr>
          <w:rFonts w:ascii="Arial" w:hAnsi="Arial" w:cs="Arial"/>
        </w:rPr>
      </w:pPr>
      <w:r w:rsidRPr="004D3CF0">
        <w:rPr>
          <w:rFonts w:ascii="Arial" w:hAnsi="Arial" w:cs="Arial"/>
        </w:rPr>
        <w:t>Primjenom nove Odluke o ustrojstvu upravnih tijela koja je na snagu stupila 1. lipnja 2026. godine, novoustrojeno upravno tijelo Upravni odjel za kulturu i kreativni razvoj preuzelo je poslove u svezi kulture od dotadašnjih odjela,  Upravnog odjela za odgoj i obrazovanje, kulturu, sport i mlade. Prvim izmjenama i dopunama financijskog plana Gradsko kazalište lutaka Rij</w:t>
      </w:r>
      <w:r w:rsidR="00294CDF">
        <w:rPr>
          <w:rFonts w:ascii="Arial" w:hAnsi="Arial" w:cs="Arial"/>
        </w:rPr>
        <w:t>e</w:t>
      </w:r>
      <w:r w:rsidRPr="004D3CF0">
        <w:rPr>
          <w:rFonts w:ascii="Arial" w:hAnsi="Arial" w:cs="Arial"/>
        </w:rPr>
        <w:t>ka vrši se isključivo prilagodba novom ustrojstvu upravnih tijela Grada Rijeke, bez promijene planskih iznosa utvrđenih početnim Proračunom Grada Rijeke. Planski iznosi koji su utvrđeni Proračunom odnosno Izmjenama i dopunama raspodjeljuju  se na način da se dio planskog iznosa planira po starom ustrojstvu za prvih pet mjeseci, a preostali dio početnog plana za preostalih sedam mjeseci po novom ustrojstvu.</w:t>
      </w:r>
    </w:p>
    <w:p w14:paraId="3E89F26E" w14:textId="77777777" w:rsidR="00B5156F" w:rsidRPr="004D3CF0" w:rsidRDefault="00B5156F" w:rsidP="00B5156F">
      <w:pPr>
        <w:spacing w:line="240" w:lineRule="auto"/>
        <w:rPr>
          <w:rFonts w:ascii="Arial" w:hAnsi="Arial" w:cs="Arial"/>
          <w:b/>
          <w:u w:val="single"/>
        </w:rPr>
      </w:pPr>
    </w:p>
    <w:p w14:paraId="51DA72D4" w14:textId="77777777" w:rsidR="00266071" w:rsidRPr="004D3CF0" w:rsidRDefault="00266071" w:rsidP="003A1242"/>
    <w:p w14:paraId="037B86E8" w14:textId="77777777" w:rsidR="00E40876" w:rsidRPr="003A1242" w:rsidRDefault="00E40876" w:rsidP="003A1242"/>
    <w:sectPr w:rsidR="00E40876" w:rsidRPr="003A1242" w:rsidSect="007D486A">
      <w:headerReference w:type="default" r:id="rId14"/>
      <w:footerReference w:type="default" r:id="rId15"/>
      <w:head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CEAD" w14:textId="77777777" w:rsidR="00100CFF" w:rsidRPr="004D3CF0" w:rsidRDefault="00100CFF">
      <w:pPr>
        <w:spacing w:after="0" w:line="240" w:lineRule="auto"/>
      </w:pPr>
      <w:r w:rsidRPr="004D3CF0">
        <w:separator/>
      </w:r>
    </w:p>
  </w:endnote>
  <w:endnote w:type="continuationSeparator" w:id="0">
    <w:p w14:paraId="773A8F0D" w14:textId="77777777" w:rsidR="00100CFF" w:rsidRPr="004D3CF0" w:rsidRDefault="00100CFF">
      <w:pPr>
        <w:spacing w:after="0" w:line="240" w:lineRule="auto"/>
      </w:pPr>
      <w:r w:rsidRPr="004D3C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422270"/>
      <w:docPartObj>
        <w:docPartGallery w:val="Page Numbers (Bottom of Page)"/>
        <w:docPartUnique/>
      </w:docPartObj>
    </w:sdtPr>
    <w:sdtContent>
      <w:p w14:paraId="44776EA1" w14:textId="77777777" w:rsidR="007D486A" w:rsidRPr="004D3CF0" w:rsidRDefault="007D486A">
        <w:pPr>
          <w:pStyle w:val="Footer"/>
          <w:jc w:val="right"/>
        </w:pPr>
        <w:r w:rsidRPr="004D3CF0">
          <w:fldChar w:fldCharType="begin"/>
        </w:r>
        <w:r w:rsidRPr="004D3CF0">
          <w:instrText>PAGE   \* MERGEFORMAT</w:instrText>
        </w:r>
        <w:r w:rsidRPr="004D3CF0">
          <w:fldChar w:fldCharType="separate"/>
        </w:r>
        <w:r w:rsidRPr="004D3CF0">
          <w:t>9</w:t>
        </w:r>
        <w:r w:rsidRPr="004D3CF0">
          <w:fldChar w:fldCharType="end"/>
        </w:r>
      </w:p>
    </w:sdtContent>
  </w:sdt>
  <w:p w14:paraId="34DBEE61" w14:textId="77777777" w:rsidR="007D486A" w:rsidRPr="004D3CF0" w:rsidRDefault="007D48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74386" w14:textId="77777777" w:rsidR="00100CFF" w:rsidRPr="004D3CF0" w:rsidRDefault="00100CFF">
      <w:pPr>
        <w:spacing w:after="0" w:line="240" w:lineRule="auto"/>
      </w:pPr>
      <w:r w:rsidRPr="004D3CF0">
        <w:separator/>
      </w:r>
    </w:p>
  </w:footnote>
  <w:footnote w:type="continuationSeparator" w:id="0">
    <w:p w14:paraId="30F2F745" w14:textId="77777777" w:rsidR="00100CFF" w:rsidRPr="004D3CF0" w:rsidRDefault="00100CFF">
      <w:pPr>
        <w:spacing w:after="0" w:line="240" w:lineRule="auto"/>
      </w:pPr>
      <w:r w:rsidRPr="004D3C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EEFA" w14:textId="77777777" w:rsidR="007D486A" w:rsidRPr="004D3CF0" w:rsidRDefault="007D486A">
    <w:pPr>
      <w:pStyle w:val="Header"/>
    </w:pPr>
  </w:p>
  <w:p w14:paraId="396DF245" w14:textId="77777777" w:rsidR="007D486A" w:rsidRPr="004D3CF0" w:rsidRDefault="007D486A">
    <w:pPr>
      <w:pStyle w:val="Header"/>
    </w:pPr>
  </w:p>
  <w:p w14:paraId="49F407E0" w14:textId="77777777" w:rsidR="007D486A" w:rsidRPr="004D3CF0" w:rsidRDefault="007D486A">
    <w:pPr>
      <w:pStyle w:val="Header"/>
    </w:pPr>
  </w:p>
  <w:p w14:paraId="31DEE8CE" w14:textId="77777777" w:rsidR="007D486A" w:rsidRPr="004D3CF0" w:rsidRDefault="007D48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680B" w14:textId="77777777" w:rsidR="007D486A" w:rsidRPr="004D3CF0" w:rsidRDefault="007D486A" w:rsidP="0040418F">
    <w:pPr>
      <w:tabs>
        <w:tab w:val="center" w:pos="4536"/>
        <w:tab w:val="right" w:pos="9072"/>
      </w:tabs>
      <w:spacing w:after="0" w:line="240" w:lineRule="auto"/>
    </w:pPr>
  </w:p>
  <w:tbl>
    <w:tblPr>
      <w:tblW w:w="10420" w:type="dxa"/>
      <w:tblLayout w:type="fixed"/>
      <w:tblLook w:val="0000" w:firstRow="0" w:lastRow="0" w:firstColumn="0" w:lastColumn="0" w:noHBand="0" w:noVBand="0"/>
    </w:tblPr>
    <w:tblGrid>
      <w:gridCol w:w="2078"/>
      <w:gridCol w:w="8342"/>
    </w:tblGrid>
    <w:tr w:rsidR="007D486A" w:rsidRPr="004D3CF0" w14:paraId="7CE5F37F" w14:textId="77777777" w:rsidTr="009F7306">
      <w:trPr>
        <w:trHeight w:val="1852"/>
      </w:trPr>
      <w:tc>
        <w:tcPr>
          <w:tcW w:w="2078" w:type="dxa"/>
          <w:tcBorders>
            <w:top w:val="nil"/>
            <w:left w:val="nil"/>
            <w:bottom w:val="nil"/>
            <w:right w:val="nil"/>
          </w:tcBorders>
          <w:vAlign w:val="center"/>
        </w:tcPr>
        <w:bookmarkStart w:id="3" w:name="_Hlk121303613"/>
        <w:p w14:paraId="2DC24FA1" w14:textId="77777777" w:rsidR="007D486A" w:rsidRPr="004D3CF0" w:rsidRDefault="007D486A" w:rsidP="0040418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hr-HR"/>
            </w:rPr>
          </w:pPr>
          <w:r w:rsidRPr="004D3CF0">
            <w:rPr>
              <w:rFonts w:ascii="Times New Roman" w:eastAsia="Times New Roman" w:hAnsi="Times New Roman"/>
              <w:lang w:eastAsia="hr-HR"/>
            </w:rPr>
            <w:object w:dxaOrig="1012" w:dyaOrig="952" w14:anchorId="767781A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6.4pt;height:86.4pt">
                <v:imagedata r:id="rId1" o:title=""/>
              </v:shape>
              <o:OLEObject Type="Embed" ProgID="PBrush" ShapeID="_x0000_i1025" DrawAspect="Content" ObjectID="_1846398151" r:id="rId2"/>
            </w:object>
          </w:r>
          <w:bookmarkEnd w:id="3"/>
        </w:p>
      </w:tc>
      <w:tc>
        <w:tcPr>
          <w:tcW w:w="834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275A0F8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</w:p>
        <w:p w14:paraId="45ACF687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bookmarkStart w:id="4" w:name="_Hlk121303638"/>
          <w:r w:rsidRPr="004D3CF0"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  <w:t>GRADSKO KAZALIŠTE LUTAKA RIJEKA</w:t>
          </w:r>
        </w:p>
        <w:p w14:paraId="177A67DF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r w:rsidRPr="004D3CF0"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  <w:t>Blaža Polića 6, 51000 Rijeka</w:t>
          </w:r>
        </w:p>
        <w:p w14:paraId="4DEF8CC9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r w:rsidRPr="004D3CF0"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  <w:t>MB 03321185</w:t>
          </w:r>
        </w:p>
        <w:p w14:paraId="79F8CC63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r w:rsidRPr="004D3CF0"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  <w:t>centrala: +385(051) 325 680</w:t>
          </w:r>
        </w:p>
        <w:p w14:paraId="58C5FC35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r w:rsidRPr="004D3CF0"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  <w:t xml:space="preserve">e-mail: gradsko-kazaliste-lutaka@ri.t-com.hr </w:t>
          </w:r>
        </w:p>
        <w:p w14:paraId="3E695C0A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r w:rsidRPr="004D3CF0"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  <w:t>OIB: 56734962764</w:t>
          </w:r>
        </w:p>
        <w:p w14:paraId="6AFCBCDA" w14:textId="77777777" w:rsidR="007D486A" w:rsidRPr="004D3CF0" w:rsidRDefault="007D486A" w:rsidP="0040418F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color w:val="A5A5A5"/>
              <w:sz w:val="18"/>
              <w:szCs w:val="18"/>
              <w:lang w:eastAsia="hr-HR"/>
            </w:rPr>
          </w:pPr>
          <w:r w:rsidRPr="004D3CF0">
            <w:rPr>
              <w:rFonts w:eastAsia="Times New Roman" w:cs="Calibri"/>
              <w:color w:val="A5A5A5"/>
              <w:lang w:eastAsia="hr-HR"/>
            </w:rPr>
            <w:t>HR3324020061837300005</w:t>
          </w:r>
          <w:bookmarkEnd w:id="4"/>
        </w:p>
      </w:tc>
    </w:tr>
  </w:tbl>
  <w:p w14:paraId="1CBB5C87" w14:textId="77777777" w:rsidR="007D486A" w:rsidRPr="004D3CF0" w:rsidRDefault="007D48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73D2"/>
    <w:multiLevelType w:val="multilevel"/>
    <w:tmpl w:val="06E018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2C41868"/>
    <w:multiLevelType w:val="hybridMultilevel"/>
    <w:tmpl w:val="F6E41F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A0C80"/>
    <w:multiLevelType w:val="hybridMultilevel"/>
    <w:tmpl w:val="BCEADC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A0740"/>
    <w:multiLevelType w:val="hybridMultilevel"/>
    <w:tmpl w:val="5B1CB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247C9"/>
    <w:multiLevelType w:val="multilevel"/>
    <w:tmpl w:val="2E8AC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0"/>
      <w:numFmt w:val="decimal"/>
      <w:isLgl/>
      <w:lvlText w:val="%1.%2"/>
      <w:lvlJc w:val="left"/>
      <w:pPr>
        <w:ind w:left="972" w:hanging="61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EC0D7E"/>
    <w:multiLevelType w:val="hybridMultilevel"/>
    <w:tmpl w:val="EEC213F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E6BD7"/>
    <w:multiLevelType w:val="hybridMultilevel"/>
    <w:tmpl w:val="312260A0"/>
    <w:lvl w:ilvl="0" w:tplc="27A65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67439"/>
    <w:multiLevelType w:val="multilevel"/>
    <w:tmpl w:val="F21CD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C3108F"/>
    <w:multiLevelType w:val="multilevel"/>
    <w:tmpl w:val="92206EE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9" w15:restartNumberingAfterBreak="0">
    <w:nsid w:val="491979C0"/>
    <w:multiLevelType w:val="hybridMultilevel"/>
    <w:tmpl w:val="5CD6FFB6"/>
    <w:lvl w:ilvl="0" w:tplc="F6A0113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22000"/>
    <w:multiLevelType w:val="hybridMultilevel"/>
    <w:tmpl w:val="E81047F2"/>
    <w:lvl w:ilvl="0" w:tplc="FFFFFFFF">
      <w:numFmt w:val="decimal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SimSu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A92361"/>
    <w:multiLevelType w:val="hybridMultilevel"/>
    <w:tmpl w:val="E81047F2"/>
    <w:lvl w:ilvl="0" w:tplc="BE266700">
      <w:numFmt w:val="decimal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SimSu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1C3D2D"/>
    <w:multiLevelType w:val="multilevel"/>
    <w:tmpl w:val="61AC88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5E385EFC"/>
    <w:multiLevelType w:val="hybridMultilevel"/>
    <w:tmpl w:val="3A1238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80DDE"/>
    <w:multiLevelType w:val="hybridMultilevel"/>
    <w:tmpl w:val="720239CA"/>
    <w:lvl w:ilvl="0" w:tplc="98E65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16629"/>
    <w:multiLevelType w:val="multilevel"/>
    <w:tmpl w:val="7504AF7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b w:val="0"/>
      </w:rPr>
    </w:lvl>
  </w:abstractNum>
  <w:num w:numId="1" w16cid:durableId="649944262">
    <w:abstractNumId w:val="2"/>
  </w:num>
  <w:num w:numId="2" w16cid:durableId="368575991">
    <w:abstractNumId w:val="1"/>
  </w:num>
  <w:num w:numId="3" w16cid:durableId="546647581">
    <w:abstractNumId w:val="0"/>
  </w:num>
  <w:num w:numId="4" w16cid:durableId="14359824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2276507">
    <w:abstractNumId w:val="7"/>
  </w:num>
  <w:num w:numId="6" w16cid:durableId="1718704805">
    <w:abstractNumId w:val="5"/>
  </w:num>
  <w:num w:numId="7" w16cid:durableId="1328636243">
    <w:abstractNumId w:val="11"/>
  </w:num>
  <w:num w:numId="8" w16cid:durableId="17395923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7357891">
    <w:abstractNumId w:val="3"/>
  </w:num>
  <w:num w:numId="10" w16cid:durableId="1790582413">
    <w:abstractNumId w:val="13"/>
  </w:num>
  <w:num w:numId="11" w16cid:durableId="1558272874">
    <w:abstractNumId w:val="9"/>
  </w:num>
  <w:num w:numId="12" w16cid:durableId="1185558027">
    <w:abstractNumId w:val="10"/>
  </w:num>
  <w:num w:numId="13" w16cid:durableId="648217402">
    <w:abstractNumId w:val="12"/>
  </w:num>
  <w:num w:numId="14" w16cid:durableId="1408840820">
    <w:abstractNumId w:val="8"/>
  </w:num>
  <w:num w:numId="15" w16cid:durableId="1211264056">
    <w:abstractNumId w:val="15"/>
  </w:num>
  <w:num w:numId="16" w16cid:durableId="328462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74571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15975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95671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63502618">
    <w:abstractNumId w:val="14"/>
  </w:num>
  <w:num w:numId="21" w16cid:durableId="676663100">
    <w:abstractNumId w:val="6"/>
  </w:num>
  <w:num w:numId="22" w16cid:durableId="447286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C3"/>
    <w:rsid w:val="00012F65"/>
    <w:rsid w:val="00015AA4"/>
    <w:rsid w:val="00021AA7"/>
    <w:rsid w:val="0002604A"/>
    <w:rsid w:val="000521C7"/>
    <w:rsid w:val="000728B7"/>
    <w:rsid w:val="00096AAB"/>
    <w:rsid w:val="000A569F"/>
    <w:rsid w:val="000B047B"/>
    <w:rsid w:val="000C7F05"/>
    <w:rsid w:val="000D4E6F"/>
    <w:rsid w:val="000D691D"/>
    <w:rsid w:val="00100CFF"/>
    <w:rsid w:val="00103EDB"/>
    <w:rsid w:val="00124B7C"/>
    <w:rsid w:val="001269FD"/>
    <w:rsid w:val="0013078F"/>
    <w:rsid w:val="00136B52"/>
    <w:rsid w:val="00140815"/>
    <w:rsid w:val="001502EB"/>
    <w:rsid w:val="00171257"/>
    <w:rsid w:val="00193B72"/>
    <w:rsid w:val="001A12AA"/>
    <w:rsid w:val="001A1885"/>
    <w:rsid w:val="001B113E"/>
    <w:rsid w:val="001D759F"/>
    <w:rsid w:val="001E35E7"/>
    <w:rsid w:val="002120B5"/>
    <w:rsid w:val="00216E61"/>
    <w:rsid w:val="00222EAE"/>
    <w:rsid w:val="00254FAC"/>
    <w:rsid w:val="00266071"/>
    <w:rsid w:val="00294CDF"/>
    <w:rsid w:val="002A0004"/>
    <w:rsid w:val="002A7AA7"/>
    <w:rsid w:val="00320A8C"/>
    <w:rsid w:val="00322A0E"/>
    <w:rsid w:val="00330177"/>
    <w:rsid w:val="003343BC"/>
    <w:rsid w:val="00335D2D"/>
    <w:rsid w:val="00353BF5"/>
    <w:rsid w:val="003636AC"/>
    <w:rsid w:val="00381BAB"/>
    <w:rsid w:val="00390E3D"/>
    <w:rsid w:val="003948D0"/>
    <w:rsid w:val="003A1242"/>
    <w:rsid w:val="003A6D36"/>
    <w:rsid w:val="003B3859"/>
    <w:rsid w:val="003C245E"/>
    <w:rsid w:val="003C478D"/>
    <w:rsid w:val="003F044F"/>
    <w:rsid w:val="003F62B1"/>
    <w:rsid w:val="00401DAD"/>
    <w:rsid w:val="004037CA"/>
    <w:rsid w:val="004077AE"/>
    <w:rsid w:val="004133F3"/>
    <w:rsid w:val="00427BD0"/>
    <w:rsid w:val="0043018E"/>
    <w:rsid w:val="00430D72"/>
    <w:rsid w:val="004321F6"/>
    <w:rsid w:val="00442D50"/>
    <w:rsid w:val="00443745"/>
    <w:rsid w:val="00471C68"/>
    <w:rsid w:val="0047213F"/>
    <w:rsid w:val="004A40D3"/>
    <w:rsid w:val="004B67C7"/>
    <w:rsid w:val="004D3CF0"/>
    <w:rsid w:val="0054535A"/>
    <w:rsid w:val="00550723"/>
    <w:rsid w:val="00564DB2"/>
    <w:rsid w:val="005703D0"/>
    <w:rsid w:val="0057087C"/>
    <w:rsid w:val="005722E2"/>
    <w:rsid w:val="00572987"/>
    <w:rsid w:val="005A0581"/>
    <w:rsid w:val="005A4210"/>
    <w:rsid w:val="005B210D"/>
    <w:rsid w:val="005C47FA"/>
    <w:rsid w:val="006041C1"/>
    <w:rsid w:val="00631BD8"/>
    <w:rsid w:val="00635BFF"/>
    <w:rsid w:val="006445E2"/>
    <w:rsid w:val="006B125A"/>
    <w:rsid w:val="006B38A3"/>
    <w:rsid w:val="006B72BB"/>
    <w:rsid w:val="006C18E6"/>
    <w:rsid w:val="006C1A76"/>
    <w:rsid w:val="006D6D0E"/>
    <w:rsid w:val="006F151F"/>
    <w:rsid w:val="00704A36"/>
    <w:rsid w:val="0071002D"/>
    <w:rsid w:val="00714516"/>
    <w:rsid w:val="00717EB6"/>
    <w:rsid w:val="007336B9"/>
    <w:rsid w:val="0074315B"/>
    <w:rsid w:val="007572F8"/>
    <w:rsid w:val="00771B26"/>
    <w:rsid w:val="00795F00"/>
    <w:rsid w:val="00797826"/>
    <w:rsid w:val="007B783C"/>
    <w:rsid w:val="007D438C"/>
    <w:rsid w:val="007D486A"/>
    <w:rsid w:val="007E2F7F"/>
    <w:rsid w:val="007E3795"/>
    <w:rsid w:val="007F011E"/>
    <w:rsid w:val="0080402A"/>
    <w:rsid w:val="00813C7D"/>
    <w:rsid w:val="008148DD"/>
    <w:rsid w:val="0084513E"/>
    <w:rsid w:val="00850FEE"/>
    <w:rsid w:val="008A1555"/>
    <w:rsid w:val="008B4402"/>
    <w:rsid w:val="008C2860"/>
    <w:rsid w:val="008E384A"/>
    <w:rsid w:val="009109A9"/>
    <w:rsid w:val="00912559"/>
    <w:rsid w:val="00913672"/>
    <w:rsid w:val="0091650D"/>
    <w:rsid w:val="00921551"/>
    <w:rsid w:val="00923571"/>
    <w:rsid w:val="00934184"/>
    <w:rsid w:val="00956A0A"/>
    <w:rsid w:val="0095752C"/>
    <w:rsid w:val="00967512"/>
    <w:rsid w:val="009705C8"/>
    <w:rsid w:val="00971E0B"/>
    <w:rsid w:val="009756F6"/>
    <w:rsid w:val="00977D2F"/>
    <w:rsid w:val="0098613C"/>
    <w:rsid w:val="009B21F5"/>
    <w:rsid w:val="009D16E0"/>
    <w:rsid w:val="009E1957"/>
    <w:rsid w:val="00A00FB1"/>
    <w:rsid w:val="00A071E8"/>
    <w:rsid w:val="00A20033"/>
    <w:rsid w:val="00A33441"/>
    <w:rsid w:val="00A4379B"/>
    <w:rsid w:val="00A9051F"/>
    <w:rsid w:val="00AA346F"/>
    <w:rsid w:val="00AB3A13"/>
    <w:rsid w:val="00AC1232"/>
    <w:rsid w:val="00AC611F"/>
    <w:rsid w:val="00AF0DC3"/>
    <w:rsid w:val="00AF5B7E"/>
    <w:rsid w:val="00B101DF"/>
    <w:rsid w:val="00B10B56"/>
    <w:rsid w:val="00B153F2"/>
    <w:rsid w:val="00B279A2"/>
    <w:rsid w:val="00B40C63"/>
    <w:rsid w:val="00B433A9"/>
    <w:rsid w:val="00B514C1"/>
    <w:rsid w:val="00B5156F"/>
    <w:rsid w:val="00B935E3"/>
    <w:rsid w:val="00BA58C1"/>
    <w:rsid w:val="00BA7CD8"/>
    <w:rsid w:val="00BD0F13"/>
    <w:rsid w:val="00BD68D5"/>
    <w:rsid w:val="00C10781"/>
    <w:rsid w:val="00C13047"/>
    <w:rsid w:val="00C31A8B"/>
    <w:rsid w:val="00C571C8"/>
    <w:rsid w:val="00C657E2"/>
    <w:rsid w:val="00C6681B"/>
    <w:rsid w:val="00C719F7"/>
    <w:rsid w:val="00C75000"/>
    <w:rsid w:val="00C827DB"/>
    <w:rsid w:val="00C848F3"/>
    <w:rsid w:val="00CA2F12"/>
    <w:rsid w:val="00CB0AD2"/>
    <w:rsid w:val="00CB27BF"/>
    <w:rsid w:val="00CB78BC"/>
    <w:rsid w:val="00CC18E5"/>
    <w:rsid w:val="00CC38C7"/>
    <w:rsid w:val="00CE5A5F"/>
    <w:rsid w:val="00CE7376"/>
    <w:rsid w:val="00D04F73"/>
    <w:rsid w:val="00D062EA"/>
    <w:rsid w:val="00D15A3C"/>
    <w:rsid w:val="00D374C0"/>
    <w:rsid w:val="00D43B13"/>
    <w:rsid w:val="00D45F03"/>
    <w:rsid w:val="00D57E84"/>
    <w:rsid w:val="00D6262C"/>
    <w:rsid w:val="00D926A4"/>
    <w:rsid w:val="00DB356C"/>
    <w:rsid w:val="00DE20D7"/>
    <w:rsid w:val="00DF3CAD"/>
    <w:rsid w:val="00E122F2"/>
    <w:rsid w:val="00E23655"/>
    <w:rsid w:val="00E24F98"/>
    <w:rsid w:val="00E40876"/>
    <w:rsid w:val="00E42E3D"/>
    <w:rsid w:val="00E5437B"/>
    <w:rsid w:val="00E66D3A"/>
    <w:rsid w:val="00E85F3C"/>
    <w:rsid w:val="00E94CE7"/>
    <w:rsid w:val="00EA4488"/>
    <w:rsid w:val="00EA4D7A"/>
    <w:rsid w:val="00EE6810"/>
    <w:rsid w:val="00EF09E4"/>
    <w:rsid w:val="00F100E5"/>
    <w:rsid w:val="00F17453"/>
    <w:rsid w:val="00F22603"/>
    <w:rsid w:val="00F40EFB"/>
    <w:rsid w:val="00F4414B"/>
    <w:rsid w:val="00F55D6E"/>
    <w:rsid w:val="00F56167"/>
    <w:rsid w:val="00F6462B"/>
    <w:rsid w:val="00F65B79"/>
    <w:rsid w:val="00F8588E"/>
    <w:rsid w:val="00F90765"/>
    <w:rsid w:val="00F95682"/>
    <w:rsid w:val="00FA3ED8"/>
    <w:rsid w:val="00FA3EE5"/>
    <w:rsid w:val="00FE6041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769A8"/>
  <w15:chartTrackingRefBased/>
  <w15:docId w15:val="{20D3AE91-7D36-4C12-B5E0-4B70630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682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9D16E0"/>
  </w:style>
  <w:style w:type="character" w:styleId="Hyperlink">
    <w:name w:val="Hyperlink"/>
    <w:basedOn w:val="DefaultParagraphFont"/>
    <w:uiPriority w:val="99"/>
    <w:unhideWhenUsed/>
    <w:rsid w:val="009D16E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16E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D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D16E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D16E0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16E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D16E0"/>
    <w:rPr>
      <w:rFonts w:ascii="Calibri" w:eastAsia="Calibri" w:hAnsi="Calibri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6E0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6E0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FollowedHyperlink1">
    <w:name w:val="FollowedHyperlink1"/>
    <w:basedOn w:val="DefaultParagraphFont"/>
    <w:uiPriority w:val="99"/>
    <w:semiHidden/>
    <w:rsid w:val="009D16E0"/>
    <w:rPr>
      <w:color w:val="954F72"/>
      <w:u w:val="single"/>
    </w:rPr>
  </w:style>
  <w:style w:type="character" w:styleId="Strong">
    <w:name w:val="Strong"/>
    <w:uiPriority w:val="22"/>
    <w:qFormat/>
    <w:rsid w:val="009D16E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63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0E330-0D51-4862-9038-5AC7AC749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12</Pages>
  <Words>4033</Words>
  <Characters>22992</Characters>
  <Application>Microsoft Office Word</Application>
  <DocSecurity>0</DocSecurity>
  <Lines>191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Rijeka</dc:creator>
  <cp:keywords/>
  <dc:description/>
  <cp:lastModifiedBy>Grbčić Laura</cp:lastModifiedBy>
  <cp:revision>153</cp:revision>
  <cp:lastPrinted>2026-07-20T09:29:00Z</cp:lastPrinted>
  <dcterms:created xsi:type="dcterms:W3CDTF">2026-07-20T09:22:00Z</dcterms:created>
  <dcterms:modified xsi:type="dcterms:W3CDTF">2026-07-24T09:36:00Z</dcterms:modified>
</cp:coreProperties>
</file>